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3C3704FE" w:rsidR="00924D12" w:rsidRPr="00CA4B24" w:rsidRDefault="00BD07BD" w:rsidP="00924D12">
      <w:pPr>
        <w:tabs>
          <w:tab w:val="right" w:pos="9639"/>
        </w:tabs>
        <w:rPr>
          <w:rFonts w:ascii="Arial" w:eastAsia="Times New Roman" w:hAnsi="Arial" w:cs="Arial"/>
          <w:b/>
          <w:sz w:val="24"/>
        </w:rPr>
      </w:pPr>
      <w:bookmarkStart w:id="0" w:name="_Hlk181981537"/>
      <w:r w:rsidRPr="00BD07BD">
        <w:rPr>
          <w:rFonts w:ascii="Arial" w:eastAsia="MS Mincho" w:hAnsi="Arial" w:cs="Arial"/>
          <w:b/>
          <w:sz w:val="24"/>
        </w:rPr>
        <w:t>3GPP TSG-RAN WG4 Meeting #116bis</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Theme="minorEastAsia" w:eastAsia="Times New Roman" w:hAnsiTheme="minorEastAsia" w:cs="Arial" w:hint="eastAsia"/>
          <w:b/>
          <w:sz w:val="24"/>
        </w:rPr>
        <w:t xml:space="preserve">  </w:t>
      </w:r>
      <w:r w:rsidR="00924D12" w:rsidRPr="00AD6941">
        <w:rPr>
          <w:rFonts w:ascii="Arial" w:eastAsia="MS Mincho" w:hAnsi="Arial" w:cs="Arial"/>
          <w:b/>
          <w:sz w:val="24"/>
        </w:rPr>
        <w:t>R4-</w:t>
      </w:r>
      <w:r w:rsidR="007322A5">
        <w:rPr>
          <w:rFonts w:ascii="Arial" w:eastAsia="MS Mincho" w:hAnsi="Arial" w:cs="Arial"/>
          <w:b/>
          <w:sz w:val="24"/>
        </w:rPr>
        <w:t>2513785</w:t>
      </w:r>
    </w:p>
    <w:p w14:paraId="2729FB73" w14:textId="661DB43E" w:rsidR="00924D12" w:rsidRPr="00CA4B24" w:rsidRDefault="00BD07BD" w:rsidP="00924D12">
      <w:pPr>
        <w:spacing w:after="120"/>
        <w:ind w:left="1985" w:hanging="1985"/>
        <w:rPr>
          <w:rFonts w:ascii="Arial" w:eastAsia="Times New Roman" w:hAnsi="Arial" w:cs="Arial"/>
          <w:b/>
          <w:sz w:val="24"/>
        </w:rPr>
      </w:pPr>
      <w:r w:rsidRPr="00BD07BD">
        <w:rPr>
          <w:rFonts w:ascii="Arial" w:eastAsia="Times New Roman" w:hAnsi="Arial" w:cs="Arial"/>
          <w:b/>
          <w:sz w:val="24"/>
        </w:rPr>
        <w:t>Prague, CZ, 13th-17th, Oct, 2025</w:t>
      </w:r>
    </w:p>
    <w:bookmarkEnd w:id="0"/>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E047043"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768FD" w:rsidRPr="00C768FD">
        <w:rPr>
          <w:rFonts w:ascii="Arial" w:eastAsia="MS Mincho" w:hAnsi="Arial" w:cs="Arial"/>
          <w:bCs/>
          <w:color w:val="000000"/>
        </w:rPr>
        <w:t>On inter-vendor training collaboration and interoperability for two-sided models</w:t>
      </w:r>
    </w:p>
    <w:p w14:paraId="08CE26BB" w14:textId="65148AF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1F2AE7">
        <w:rPr>
          <w:rFonts w:ascii="Arial" w:hAnsi="Arial" w:cs="Arial"/>
          <w:color w:val="000000"/>
        </w:rPr>
        <w:t>9</w:t>
      </w:r>
      <w:r w:rsidR="00C7381D">
        <w:rPr>
          <w:rFonts w:ascii="Arial" w:hAnsi="Arial" w:cs="Arial"/>
          <w:color w:val="000000"/>
        </w:rPr>
        <w:t>.</w:t>
      </w:r>
      <w:r w:rsidR="00032379">
        <w:rPr>
          <w:rFonts w:ascii="Arial" w:hAnsi="Arial" w:cs="Arial"/>
          <w:color w:val="000000"/>
        </w:rPr>
        <w:t>3</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4050E2D0" w14:textId="77777777" w:rsidR="00A604B8" w:rsidRPr="0067062F" w:rsidRDefault="00A604B8" w:rsidP="00A604B8">
      <w:pPr>
        <w:spacing w:before="120" w:after="120"/>
        <w:rPr>
          <w:rFonts w:ascii="Times New Roman" w:hAnsi="Times New Roman"/>
          <w:sz w:val="20"/>
          <w:szCs w:val="20"/>
        </w:rPr>
      </w:pPr>
      <w:r>
        <w:rPr>
          <w:rFonts w:ascii="Times New Roman" w:hAnsi="Times New Roman"/>
          <w:sz w:val="20"/>
          <w:szCs w:val="20"/>
        </w:rPr>
        <w:t xml:space="preserve">Based on Rel-18 study on AI/ML </w:t>
      </w:r>
      <w:r w:rsidRPr="00633BF0">
        <w:rPr>
          <w:rFonts w:ascii="Times New Roman" w:hAnsi="Times New Roman"/>
          <w:sz w:val="20"/>
          <w:szCs w:val="20"/>
        </w:rPr>
        <w:t xml:space="preserve">Artificial Intelligence (AI)/Machine Learning (ML) for NR Air Interface </w:t>
      </w:r>
      <w:r>
        <w:rPr>
          <w:rFonts w:ascii="Times New Roman" w:hAnsi="Times New Roman"/>
          <w:sz w:val="20"/>
          <w:szCs w:val="20"/>
        </w:rPr>
        <w:t xml:space="preserve">and the follow-up study on the </w:t>
      </w:r>
      <w:r w:rsidRPr="00633BF0">
        <w:rPr>
          <w:rFonts w:ascii="Times New Roman" w:hAnsi="Times New Roman"/>
          <w:sz w:val="20"/>
          <w:szCs w:val="20"/>
        </w:rPr>
        <w:t xml:space="preserve">CSI </w:t>
      </w:r>
      <w:r>
        <w:rPr>
          <w:rFonts w:ascii="Times New Roman" w:hAnsi="Times New Roman"/>
          <w:sz w:val="20"/>
          <w:szCs w:val="20"/>
        </w:rPr>
        <w:t>compression with two-sided model has been conducted in Rel-19.</w:t>
      </w:r>
      <w:r w:rsidRPr="00633BF0">
        <w:rPr>
          <w:rFonts w:ascii="Times New Roman" w:hAnsi="Times New Roman"/>
          <w:sz w:val="20"/>
          <w:szCs w:val="20"/>
        </w:rPr>
        <w:t xml:space="preserve"> </w:t>
      </w:r>
      <w:r>
        <w:rPr>
          <w:rFonts w:ascii="Times New Roman" w:hAnsi="Times New Roman"/>
          <w:sz w:val="20"/>
          <w:szCs w:val="20"/>
        </w:rPr>
        <w:t xml:space="preserve">Accordingly, </w:t>
      </w:r>
      <w:r w:rsidRPr="0067062F">
        <w:rPr>
          <w:rFonts w:ascii="Times New Roman" w:hAnsi="Times New Roman" w:hint="eastAsia"/>
          <w:sz w:val="20"/>
          <w:szCs w:val="20"/>
        </w:rPr>
        <w:t>R</w:t>
      </w:r>
      <w:r w:rsidRPr="0067062F">
        <w:rPr>
          <w:rFonts w:ascii="Times New Roman" w:hAnsi="Times New Roman"/>
          <w:sz w:val="20"/>
          <w:szCs w:val="20"/>
        </w:rPr>
        <w:t xml:space="preserve">el-20 new WID was </w:t>
      </w:r>
      <w:r>
        <w:rPr>
          <w:rFonts w:ascii="Times New Roman" w:hAnsi="Times New Roman"/>
          <w:sz w:val="20"/>
          <w:szCs w:val="20"/>
        </w:rPr>
        <w:t xml:space="preserve">originally </w:t>
      </w:r>
      <w:r w:rsidRPr="0067062F">
        <w:rPr>
          <w:rFonts w:ascii="Times New Roman" w:hAnsi="Times New Roman"/>
          <w:sz w:val="20"/>
          <w:szCs w:val="20"/>
        </w:rPr>
        <w:t>approved in RAN#10</w:t>
      </w:r>
      <w:r>
        <w:rPr>
          <w:rFonts w:ascii="Times New Roman" w:hAnsi="Times New Roman"/>
          <w:sz w:val="20"/>
          <w:szCs w:val="20"/>
        </w:rPr>
        <w:t>8, which has been further updated in RAN#109 [1]. Among objectives of this work item,</w:t>
      </w:r>
      <w:r w:rsidRPr="0067062F">
        <w:rPr>
          <w:rFonts w:ascii="Times New Roman" w:hAnsi="Times New Roman"/>
          <w:sz w:val="20"/>
          <w:szCs w:val="20"/>
        </w:rPr>
        <w:t xml:space="preserve"> </w:t>
      </w:r>
      <w:r>
        <w:rPr>
          <w:rFonts w:ascii="Times New Roman" w:hAnsi="Times New Roman"/>
          <w:sz w:val="20"/>
          <w:szCs w:val="20"/>
        </w:rPr>
        <w:t>the</w:t>
      </w:r>
      <w:r w:rsidRPr="0067062F">
        <w:rPr>
          <w:rFonts w:ascii="Times New Roman" w:hAnsi="Times New Roman"/>
          <w:sz w:val="20"/>
          <w:szCs w:val="20"/>
        </w:rPr>
        <w:t xml:space="preserve"> following are RAN4 </w:t>
      </w:r>
      <w:r>
        <w:rPr>
          <w:rFonts w:ascii="Times New Roman" w:hAnsi="Times New Roman"/>
          <w:sz w:val="20"/>
          <w:szCs w:val="20"/>
        </w:rPr>
        <w:t xml:space="preserve">relevant </w:t>
      </w:r>
      <w:r w:rsidRPr="0067062F">
        <w:rPr>
          <w:rFonts w:ascii="Times New Roman" w:hAnsi="Times New Roman"/>
          <w:sz w:val="20"/>
          <w:szCs w:val="20"/>
        </w:rPr>
        <w:t>work</w:t>
      </w:r>
      <w:r>
        <w:rPr>
          <w:rFonts w:ascii="Times New Roman" w:hAnsi="Times New Roman"/>
          <w:sz w:val="20"/>
          <w:szCs w:val="20"/>
        </w:rPr>
        <w:t xml:space="preserve"> scope</w:t>
      </w:r>
      <w:r w:rsidRPr="0067062F">
        <w:rPr>
          <w:rFonts w:ascii="Times New Roman" w:hAnsi="Times New Roman"/>
          <w:sz w:val="20"/>
          <w:szCs w:val="20"/>
        </w:rPr>
        <w:t xml:space="preserve"> on</w:t>
      </w:r>
      <w:r>
        <w:rPr>
          <w:rFonts w:ascii="Times New Roman" w:hAnsi="Times New Roman"/>
          <w:sz w:val="20"/>
          <w:szCs w:val="20"/>
        </w:rPr>
        <w:t xml:space="preserve"> inter-vendor training collaboration for</w:t>
      </w:r>
      <w:r w:rsidRPr="0067062F">
        <w:rPr>
          <w:rFonts w:ascii="Times New Roman" w:hAnsi="Times New Roman"/>
          <w:sz w:val="20"/>
          <w:szCs w:val="20"/>
        </w:rPr>
        <w:t xml:space="preserve"> two-sided AI/ML models</w:t>
      </w:r>
      <w:r>
        <w:rPr>
          <w:rFonts w:ascii="Times New Roman" w:hAnsi="Times New Roman"/>
          <w:sz w:val="20"/>
          <w:szCs w:val="20"/>
        </w:rPr>
        <w:t>, and RAN4 requirements of interoperability and RRM:</w:t>
      </w:r>
    </w:p>
    <w:tbl>
      <w:tblPr>
        <w:tblStyle w:val="TableGrid"/>
        <w:tblW w:w="0" w:type="auto"/>
        <w:tblLook w:val="04A0" w:firstRow="1" w:lastRow="0" w:firstColumn="1" w:lastColumn="0" w:noHBand="0" w:noVBand="1"/>
      </w:tblPr>
      <w:tblGrid>
        <w:gridCol w:w="9631"/>
      </w:tblGrid>
      <w:tr w:rsidR="00966181" w:rsidRPr="007574F2" w14:paraId="133C6C92" w14:textId="77777777" w:rsidTr="00966181">
        <w:tc>
          <w:tcPr>
            <w:tcW w:w="9631" w:type="dxa"/>
          </w:tcPr>
          <w:p w14:paraId="72331DB5" w14:textId="77777777" w:rsidR="00966181" w:rsidRPr="007574F2" w:rsidRDefault="00966181" w:rsidP="00966181">
            <w:pPr>
              <w:spacing w:after="0"/>
              <w:rPr>
                <w:rFonts w:ascii="Times New Roman" w:hAnsi="Times New Roman" w:cs="Times New Roman"/>
                <w:bCs/>
                <w:sz w:val="20"/>
                <w:szCs w:val="20"/>
              </w:rPr>
            </w:pPr>
            <w:r w:rsidRPr="007574F2">
              <w:rPr>
                <w:rFonts w:ascii="Times New Roman" w:hAnsi="Times New Roman" w:cs="Times New Roman"/>
                <w:b/>
                <w:sz w:val="20"/>
                <w:szCs w:val="20"/>
              </w:rPr>
              <w:t>Inter-vendor training collaboration</w:t>
            </w:r>
            <w:r w:rsidRPr="007574F2">
              <w:rPr>
                <w:rFonts w:ascii="Times New Roman" w:hAnsi="Times New Roman" w:cs="Times New Roman"/>
                <w:bCs/>
                <w:sz w:val="20"/>
                <w:szCs w:val="20"/>
              </w:rPr>
              <w:t xml:space="preserve"> for two-sided AI/ML models </w:t>
            </w:r>
          </w:p>
          <w:p w14:paraId="2E07A79C" w14:textId="77777777" w:rsidR="00966181" w:rsidRPr="007574F2" w:rsidRDefault="00966181" w:rsidP="00966181">
            <w:pPr>
              <w:pStyle w:val="ListParagraph"/>
              <w:numPr>
                <w:ilvl w:val="0"/>
                <w:numId w:val="23"/>
              </w:numPr>
              <w:spacing w:after="0"/>
              <w:ind w:firstLineChars="0"/>
              <w:contextualSpacing/>
              <w:rPr>
                <w:bCs/>
                <w:lang w:val="en-US"/>
              </w:rPr>
            </w:pPr>
            <w:r w:rsidRPr="007574F2">
              <w:rPr>
                <w:bCs/>
                <w:lang w:val="en-US"/>
              </w:rPr>
              <w:t>Fully defined/specified reference model (“Direction C”) with RAN1 scalability study outcome taken into account [RAN4/RAN1] – check-point in RAN#110 upon RAN4 feedback</w:t>
            </w:r>
          </w:p>
          <w:p w14:paraId="76B5D313" w14:textId="77777777" w:rsidR="00966181" w:rsidRPr="007574F2" w:rsidRDefault="00966181" w:rsidP="00966181">
            <w:pPr>
              <w:pStyle w:val="ListParagraph"/>
              <w:numPr>
                <w:ilvl w:val="1"/>
                <w:numId w:val="23"/>
              </w:numPr>
              <w:spacing w:after="0"/>
              <w:ind w:firstLineChars="0"/>
              <w:contextualSpacing/>
              <w:rPr>
                <w:bCs/>
                <w:lang w:val="en-US"/>
              </w:rPr>
            </w:pPr>
            <w:r w:rsidRPr="007574F2">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86F8414" w14:textId="77777777" w:rsidR="00966181" w:rsidRPr="007574F2" w:rsidRDefault="00966181" w:rsidP="00966181">
            <w:pPr>
              <w:pStyle w:val="ListParagraph"/>
              <w:numPr>
                <w:ilvl w:val="0"/>
                <w:numId w:val="23"/>
              </w:numPr>
              <w:spacing w:after="0"/>
              <w:ind w:firstLineChars="0"/>
              <w:contextualSpacing/>
              <w:rPr>
                <w:bCs/>
                <w:lang w:val="en-US"/>
              </w:rPr>
            </w:pPr>
            <w:r w:rsidRPr="007574F2">
              <w:rPr>
                <w:bCs/>
                <w:lang w:val="en-US"/>
              </w:rPr>
              <w:t>Specification of standardized dataset format/content plus dataset exchange (“Direction A, sub-option 4-1”) [RAN1/RAN2/RAN3/RAN4] – check-point in RAN#110 upon SA WG feedback</w:t>
            </w:r>
          </w:p>
          <w:p w14:paraId="59DFB0B0" w14:textId="77777777" w:rsidR="00966181" w:rsidRPr="007574F2" w:rsidRDefault="00966181" w:rsidP="00966181">
            <w:pPr>
              <w:spacing w:after="0"/>
              <w:rPr>
                <w:rFonts w:ascii="Times New Roman" w:hAnsi="Times New Roman" w:cs="Times New Roman"/>
                <w:bCs/>
                <w:sz w:val="20"/>
                <w:szCs w:val="20"/>
              </w:rPr>
            </w:pPr>
            <w:r w:rsidRPr="007574F2">
              <w:rPr>
                <w:rFonts w:ascii="Times New Roman" w:hAnsi="Times New Roman" w:cs="Times New Roman"/>
                <w:b/>
                <w:sz w:val="20"/>
                <w:szCs w:val="20"/>
              </w:rPr>
              <w:t>Interoperability and RRM requirement</w:t>
            </w:r>
            <w:r w:rsidRPr="007574F2">
              <w:rPr>
                <w:rFonts w:ascii="Times New Roman" w:hAnsi="Times New Roman" w:cs="Times New Roman"/>
                <w:bCs/>
                <w:sz w:val="20"/>
                <w:szCs w:val="20"/>
              </w:rPr>
              <w:t xml:space="preserve"> [RAN4]:</w:t>
            </w:r>
          </w:p>
          <w:p w14:paraId="758A3F0E" w14:textId="77777777" w:rsidR="00966181" w:rsidRPr="007574F2" w:rsidRDefault="00966181" w:rsidP="00966181">
            <w:pPr>
              <w:pStyle w:val="ListParagraph"/>
              <w:numPr>
                <w:ilvl w:val="0"/>
                <w:numId w:val="24"/>
              </w:numPr>
              <w:spacing w:after="0"/>
              <w:ind w:firstLineChars="0"/>
              <w:contextualSpacing/>
              <w:rPr>
                <w:bCs/>
                <w:lang w:val="en-US"/>
              </w:rPr>
            </w:pPr>
            <w:r w:rsidRPr="007574F2">
              <w:rPr>
                <w:bCs/>
                <w:lang w:val="en-US"/>
              </w:rPr>
              <w:t>To define the requirement for the encoder, specify the standardized test decoder to guarantee interoperability</w:t>
            </w:r>
          </w:p>
          <w:p w14:paraId="53A1E43C" w14:textId="77777777" w:rsidR="00966181" w:rsidRPr="007574F2" w:rsidRDefault="00966181" w:rsidP="00966181">
            <w:pPr>
              <w:pStyle w:val="ListParagraph"/>
              <w:numPr>
                <w:ilvl w:val="1"/>
                <w:numId w:val="24"/>
              </w:numPr>
              <w:spacing w:after="0"/>
              <w:ind w:firstLineChars="0"/>
              <w:contextualSpacing/>
              <w:rPr>
                <w:bCs/>
                <w:lang w:val="en-US"/>
              </w:rPr>
            </w:pPr>
            <w:r w:rsidRPr="007574F2">
              <w:rPr>
                <w:bCs/>
                <w:lang w:val="en-US"/>
              </w:rPr>
              <w:t xml:space="preserve">The fully specified test decoder, data set, and corresponding reference encoder in RAN4 to be used for inter-vendor collaboration </w:t>
            </w:r>
          </w:p>
          <w:p w14:paraId="04BDBE39" w14:textId="77777777" w:rsidR="00966181" w:rsidRPr="007574F2" w:rsidRDefault="00966181" w:rsidP="00966181">
            <w:pPr>
              <w:pStyle w:val="ListParagraph"/>
              <w:numPr>
                <w:ilvl w:val="0"/>
                <w:numId w:val="24"/>
              </w:numPr>
              <w:spacing w:after="0"/>
              <w:ind w:firstLineChars="0"/>
              <w:contextualSpacing/>
              <w:rPr>
                <w:bCs/>
                <w:lang w:val="en-US"/>
              </w:rPr>
            </w:pPr>
            <w:r w:rsidRPr="007574F2">
              <w:rPr>
                <w:bCs/>
                <w:lang w:val="en-US"/>
              </w:rPr>
              <w:t>Necessary RRM requirement for specified LCM procedures.</w:t>
            </w:r>
          </w:p>
          <w:p w14:paraId="0626A2B3" w14:textId="39E7C153" w:rsidR="00966181" w:rsidRPr="007574F2" w:rsidRDefault="00966181" w:rsidP="00966181">
            <w:pPr>
              <w:pStyle w:val="ListParagraph"/>
              <w:numPr>
                <w:ilvl w:val="0"/>
                <w:numId w:val="24"/>
              </w:numPr>
              <w:spacing w:after="0"/>
              <w:ind w:firstLineChars="0"/>
              <w:contextualSpacing/>
              <w:rPr>
                <w:bCs/>
                <w:lang w:val="en-US"/>
              </w:rPr>
            </w:pPr>
            <w:r w:rsidRPr="007574F2">
              <w:rPr>
                <w:bCs/>
                <w:lang w:val="en-US"/>
              </w:rPr>
              <w:t>NOTE: offline training is assumed for the purpose of this project. Strive to leverage on RAN1’s study on scalable model structure in FS_NR_AIML_Air.</w:t>
            </w:r>
          </w:p>
        </w:tc>
      </w:tr>
    </w:tbl>
    <w:p w14:paraId="72BBAA93" w14:textId="404605A6" w:rsidR="00DE1ED0" w:rsidRPr="007574F2" w:rsidRDefault="00DE1ED0" w:rsidP="00EC43CD">
      <w:pPr>
        <w:spacing w:before="120" w:after="120"/>
        <w:rPr>
          <w:rFonts w:ascii="Times New Roman" w:hAnsi="Times New Roman"/>
          <w:sz w:val="20"/>
          <w:szCs w:val="20"/>
        </w:rPr>
      </w:pPr>
      <w:r w:rsidRPr="007574F2">
        <w:rPr>
          <w:rFonts w:ascii="Times New Roman" w:hAnsi="Times New Roman" w:hint="eastAsia"/>
          <w:sz w:val="20"/>
          <w:szCs w:val="20"/>
        </w:rPr>
        <w:t>A</w:t>
      </w:r>
      <w:r w:rsidRPr="007574F2">
        <w:rPr>
          <w:rFonts w:ascii="Times New Roman" w:hAnsi="Times New Roman"/>
          <w:sz w:val="20"/>
          <w:szCs w:val="20"/>
        </w:rPr>
        <w:t xml:space="preserve">s per the WID, </w:t>
      </w:r>
      <w:r w:rsidR="00B4593F" w:rsidRPr="007574F2">
        <w:rPr>
          <w:rFonts w:ascii="Times New Roman" w:hAnsi="Times New Roman"/>
          <w:sz w:val="20"/>
          <w:szCs w:val="20"/>
        </w:rPr>
        <w:t xml:space="preserve">the </w:t>
      </w:r>
      <w:r w:rsidR="002343DB">
        <w:rPr>
          <w:rFonts w:ascii="Times New Roman" w:hAnsi="Times New Roman"/>
          <w:sz w:val="20"/>
          <w:szCs w:val="20"/>
        </w:rPr>
        <w:t xml:space="preserve">RAN1 </w:t>
      </w:r>
      <w:r w:rsidR="00B4593F" w:rsidRPr="007574F2">
        <w:rPr>
          <w:rFonts w:ascii="Times New Roman" w:hAnsi="Times New Roman"/>
          <w:sz w:val="20"/>
          <w:szCs w:val="20"/>
        </w:rPr>
        <w:t>study outcome on model scalability should be taken into account</w:t>
      </w:r>
      <w:r w:rsidR="00304563" w:rsidRPr="007574F2">
        <w:rPr>
          <w:rFonts w:ascii="Times New Roman" w:hAnsi="Times New Roman"/>
          <w:sz w:val="20"/>
          <w:szCs w:val="20"/>
        </w:rPr>
        <w:t xml:space="preserve"> when RAN4 specifies the test decoder and reference encoder</w:t>
      </w:r>
      <w:r w:rsidR="007F2DCB" w:rsidRPr="007574F2">
        <w:rPr>
          <w:rFonts w:ascii="Times New Roman" w:hAnsi="Times New Roman"/>
          <w:sz w:val="20"/>
          <w:szCs w:val="20"/>
        </w:rPr>
        <w:t>.</w:t>
      </w:r>
      <w:r w:rsidR="007B1F30" w:rsidRPr="007574F2">
        <w:rPr>
          <w:rFonts w:ascii="Times New Roman" w:hAnsi="Times New Roman"/>
          <w:sz w:val="20"/>
          <w:szCs w:val="20"/>
        </w:rPr>
        <w:t xml:space="preserve"> </w:t>
      </w:r>
      <w:r w:rsidR="00511CA3" w:rsidRPr="007574F2">
        <w:rPr>
          <w:rFonts w:ascii="Times New Roman" w:hAnsi="Times New Roman"/>
          <w:sz w:val="20"/>
          <w:szCs w:val="20"/>
        </w:rPr>
        <w:t xml:space="preserve">Model scalability is essential for model specification because it’s impractical to design one specific model for each pair of input size and output size. This paper discusses </w:t>
      </w:r>
      <w:r w:rsidR="005039B6" w:rsidRPr="007574F2">
        <w:rPr>
          <w:rFonts w:ascii="Times New Roman" w:hAnsi="Times New Roman"/>
          <w:sz w:val="20"/>
          <w:szCs w:val="20"/>
        </w:rPr>
        <w:t xml:space="preserve">RAN4 work </w:t>
      </w:r>
      <w:r w:rsidR="005039B6">
        <w:rPr>
          <w:rFonts w:ascii="Times New Roman" w:hAnsi="Times New Roman" w:hint="eastAsia"/>
          <w:sz w:val="20"/>
          <w:szCs w:val="20"/>
        </w:rPr>
        <w:t>o</w:t>
      </w:r>
      <w:r w:rsidR="005039B6">
        <w:rPr>
          <w:rFonts w:ascii="Times New Roman" w:hAnsi="Times New Roman"/>
          <w:sz w:val="20"/>
          <w:szCs w:val="20"/>
        </w:rPr>
        <w:t xml:space="preserve">n </w:t>
      </w:r>
      <w:r w:rsidR="00511CA3" w:rsidRPr="007574F2">
        <w:rPr>
          <w:rFonts w:ascii="Times New Roman" w:hAnsi="Times New Roman"/>
          <w:sz w:val="20"/>
          <w:szCs w:val="20"/>
        </w:rPr>
        <w:t>the model scalability in Rel-20.</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02103ED5" w14:textId="3679CF65" w:rsidR="00D8583D" w:rsidRDefault="00D8583D"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2.1 </w:t>
      </w:r>
      <w:r w:rsidR="006347CD">
        <w:rPr>
          <w:rFonts w:ascii="Times New Roman" w:eastAsiaTheme="minorEastAsia" w:hAnsi="Times New Roman"/>
          <w:b/>
          <w:bCs/>
          <w:sz w:val="24"/>
          <w:szCs w:val="22"/>
          <w:lang w:val="en-US"/>
        </w:rPr>
        <w:t xml:space="preserve">Model </w:t>
      </w:r>
      <w:r w:rsidR="00514BD3">
        <w:rPr>
          <w:rFonts w:ascii="Times New Roman" w:eastAsiaTheme="minorEastAsia" w:hAnsi="Times New Roman"/>
          <w:b/>
          <w:bCs/>
          <w:sz w:val="24"/>
          <w:szCs w:val="22"/>
          <w:lang w:val="en-US"/>
        </w:rPr>
        <w:t xml:space="preserve">structure </w:t>
      </w:r>
      <w:r w:rsidR="00383761">
        <w:rPr>
          <w:rFonts w:ascii="Times New Roman" w:eastAsiaTheme="minorEastAsia" w:hAnsi="Times New Roman"/>
          <w:b/>
          <w:bCs/>
          <w:sz w:val="24"/>
          <w:szCs w:val="22"/>
          <w:lang w:val="en-US"/>
        </w:rPr>
        <w:t>scalability</w:t>
      </w:r>
      <w:r w:rsidR="001D4399">
        <w:rPr>
          <w:rFonts w:ascii="Times New Roman" w:eastAsiaTheme="minorEastAsia" w:hAnsi="Times New Roman"/>
          <w:b/>
          <w:bCs/>
          <w:sz w:val="24"/>
          <w:szCs w:val="22"/>
          <w:lang w:val="en-US"/>
        </w:rPr>
        <w:t xml:space="preserve"> in </w:t>
      </w:r>
      <w:r w:rsidR="004368B5">
        <w:rPr>
          <w:rFonts w:ascii="Times New Roman" w:eastAsiaTheme="minorEastAsia" w:hAnsi="Times New Roman"/>
          <w:b/>
          <w:bCs/>
          <w:sz w:val="24"/>
          <w:szCs w:val="22"/>
          <w:lang w:val="en-US"/>
        </w:rPr>
        <w:t xml:space="preserve">Rel-19 </w:t>
      </w:r>
      <w:r w:rsidR="001D4399">
        <w:rPr>
          <w:rFonts w:ascii="Times New Roman" w:eastAsiaTheme="minorEastAsia" w:hAnsi="Times New Roman"/>
          <w:b/>
          <w:bCs/>
          <w:sz w:val="24"/>
          <w:szCs w:val="22"/>
          <w:lang w:val="en-US"/>
        </w:rPr>
        <w:t>RAN1</w:t>
      </w:r>
    </w:p>
    <w:p w14:paraId="157FB877" w14:textId="444807CE" w:rsidR="00691CB5" w:rsidRDefault="00691CB5" w:rsidP="00691CB5">
      <w:pPr>
        <w:spacing w:after="180"/>
        <w:rPr>
          <w:rFonts w:ascii="Times New Roman" w:hAnsi="Times New Roman"/>
          <w:sz w:val="20"/>
          <w:szCs w:val="20"/>
        </w:rPr>
      </w:pPr>
      <w:r w:rsidRPr="00CD135A">
        <w:rPr>
          <w:rFonts w:ascii="Times New Roman" w:hAnsi="Times New Roman"/>
          <w:sz w:val="20"/>
          <w:szCs w:val="20"/>
        </w:rPr>
        <w:t xml:space="preserve">In Rel-19, RAN4 studied the feasibility of model interoperability without considering scalable input </w:t>
      </w:r>
      <w:r>
        <w:rPr>
          <w:rFonts w:ascii="Times New Roman" w:hAnsi="Times New Roman"/>
          <w:sz w:val="20"/>
          <w:szCs w:val="20"/>
        </w:rPr>
        <w:t xml:space="preserve">size </w:t>
      </w:r>
      <w:r w:rsidRPr="00CD135A">
        <w:rPr>
          <w:rFonts w:ascii="Times New Roman" w:hAnsi="Times New Roman"/>
          <w:sz w:val="20"/>
          <w:szCs w:val="20"/>
        </w:rPr>
        <w:t>and output</w:t>
      </w:r>
      <w:r>
        <w:rPr>
          <w:rFonts w:ascii="Times New Roman" w:hAnsi="Times New Roman"/>
          <w:sz w:val="20"/>
          <w:szCs w:val="20"/>
        </w:rPr>
        <w:t xml:space="preserve"> size</w:t>
      </w:r>
      <w:r w:rsidRPr="00CD135A">
        <w:rPr>
          <w:rFonts w:ascii="Times New Roman" w:hAnsi="Times New Roman"/>
          <w:sz w:val="20"/>
          <w:szCs w:val="20"/>
        </w:rPr>
        <w:t xml:space="preserve">. RAN1 has study the model scalability on three scalable </w:t>
      </w:r>
      <w:r>
        <w:rPr>
          <w:rFonts w:ascii="Times New Roman" w:hAnsi="Times New Roman"/>
          <w:sz w:val="20"/>
          <w:szCs w:val="20"/>
        </w:rPr>
        <w:t>aspects</w:t>
      </w:r>
      <w:r w:rsidRPr="00CD135A">
        <w:rPr>
          <w:rFonts w:ascii="Times New Roman" w:hAnsi="Times New Roman"/>
          <w:sz w:val="20"/>
          <w:szCs w:val="20"/>
        </w:rPr>
        <w:t xml:space="preserve"> based on the agreed transformer-based model.</w:t>
      </w:r>
    </w:p>
    <w:p w14:paraId="1A604853" w14:textId="6D38F9DE" w:rsidR="008D5476" w:rsidRPr="00CD135A" w:rsidRDefault="008D5476" w:rsidP="00691CB5">
      <w:pPr>
        <w:spacing w:after="180"/>
        <w:rPr>
          <w:rFonts w:ascii="Times New Roman" w:hAnsi="Times New Roman"/>
          <w:sz w:val="20"/>
          <w:szCs w:val="20"/>
        </w:rPr>
      </w:pPr>
      <w:r w:rsidRPr="00DF3128">
        <w:rPr>
          <w:rFonts w:ascii="Times New Roman" w:hAnsi="Times New Roman" w:hint="eastAsia"/>
          <w:sz w:val="20"/>
          <w:szCs w:val="20"/>
        </w:rPr>
        <w:t>A</w:t>
      </w:r>
      <w:r w:rsidRPr="00DF3128">
        <w:rPr>
          <w:rFonts w:ascii="Times New Roman" w:hAnsi="Times New Roman"/>
          <w:sz w:val="20"/>
          <w:szCs w:val="20"/>
        </w:rPr>
        <w:t xml:space="preserve">ccording to </w:t>
      </w:r>
      <w:r>
        <w:rPr>
          <w:rFonts w:ascii="Times New Roman" w:hAnsi="Times New Roman"/>
          <w:sz w:val="20"/>
          <w:szCs w:val="20"/>
        </w:rPr>
        <w:t>[</w:t>
      </w:r>
      <w:r w:rsidR="00F16D78">
        <w:rPr>
          <w:rFonts w:ascii="Times New Roman" w:hAnsi="Times New Roman"/>
          <w:sz w:val="20"/>
          <w:szCs w:val="20"/>
        </w:rPr>
        <w:t>2</w:t>
      </w:r>
      <w:r>
        <w:rPr>
          <w:rFonts w:ascii="Times New Roman" w:hAnsi="Times New Roman"/>
          <w:sz w:val="20"/>
          <w:szCs w:val="20"/>
        </w:rPr>
        <w:t>]</w:t>
      </w:r>
      <w:r w:rsidR="006347CD">
        <w:rPr>
          <w:rFonts w:ascii="Times New Roman" w:hAnsi="Times New Roman"/>
          <w:sz w:val="20"/>
          <w:szCs w:val="20"/>
        </w:rPr>
        <w:t>, agreements on model structure scalability are listed below.</w:t>
      </w:r>
    </w:p>
    <w:tbl>
      <w:tblPr>
        <w:tblStyle w:val="TableGrid"/>
        <w:tblW w:w="0" w:type="auto"/>
        <w:tblLook w:val="04A0" w:firstRow="1" w:lastRow="0" w:firstColumn="1" w:lastColumn="0" w:noHBand="0" w:noVBand="1"/>
      </w:tblPr>
      <w:tblGrid>
        <w:gridCol w:w="9631"/>
      </w:tblGrid>
      <w:tr w:rsidR="00691CB5" w:rsidRPr="00CD135A" w14:paraId="08F3B7AD" w14:textId="77777777" w:rsidTr="00A13FBE">
        <w:tc>
          <w:tcPr>
            <w:tcW w:w="9631" w:type="dxa"/>
          </w:tcPr>
          <w:p w14:paraId="5FD46A85" w14:textId="77777777" w:rsidR="00691CB5" w:rsidRPr="00CD135A" w:rsidRDefault="00691CB5" w:rsidP="00A13FBE">
            <w:pPr>
              <w:rPr>
                <w:rFonts w:ascii="Times New Roman" w:hAnsi="Times New Roman"/>
                <w:sz w:val="20"/>
                <w:szCs w:val="20"/>
              </w:rPr>
            </w:pPr>
            <w:r w:rsidRPr="00CD135A">
              <w:rPr>
                <w:rFonts w:ascii="Times New Roman" w:hAnsi="Times New Roman"/>
                <w:sz w:val="20"/>
                <w:szCs w:val="20"/>
              </w:rPr>
              <w:t>RAN1 #120 agreements</w:t>
            </w:r>
          </w:p>
          <w:p w14:paraId="7307607B" w14:textId="77777777" w:rsidR="00691CB5" w:rsidRPr="00CD135A" w:rsidRDefault="00691CB5" w:rsidP="00A13FBE">
            <w:pPr>
              <w:rPr>
                <w:rFonts w:ascii="Times New Roman" w:hAnsi="Times New Roman"/>
                <w:sz w:val="20"/>
                <w:szCs w:val="20"/>
                <w:highlight w:val="green"/>
              </w:rPr>
            </w:pPr>
            <w:r w:rsidRPr="00CD135A">
              <w:rPr>
                <w:rFonts w:ascii="Times New Roman" w:hAnsi="Times New Roman"/>
                <w:sz w:val="20"/>
                <w:szCs w:val="20"/>
                <w:highlight w:val="green"/>
              </w:rPr>
              <w:t>Agreement</w:t>
            </w:r>
          </w:p>
          <w:p w14:paraId="7D0D4BA9" w14:textId="77777777" w:rsidR="00691CB5" w:rsidRPr="00CD135A" w:rsidRDefault="00691CB5" w:rsidP="00A13FBE">
            <w:pPr>
              <w:spacing w:after="160" w:line="276" w:lineRule="auto"/>
              <w:contextualSpacing/>
              <w:rPr>
                <w:rFonts w:ascii="Times New Roman" w:hAnsi="Times New Roman"/>
                <w:sz w:val="20"/>
                <w:szCs w:val="20"/>
              </w:rPr>
            </w:pPr>
            <w:r w:rsidRPr="00CD135A">
              <w:rPr>
                <w:rFonts w:ascii="Times New Roman" w:hAnsi="Times New Roman"/>
                <w:sz w:val="20"/>
                <w:szCs w:val="20"/>
              </w:rPr>
              <w:t>For model structure scalability study for temporal domain Case 0,</w:t>
            </w:r>
          </w:p>
          <w:p w14:paraId="021C91B4" w14:textId="77777777" w:rsidR="00691CB5" w:rsidRPr="00CD135A" w:rsidRDefault="00691CB5" w:rsidP="00A13FBE">
            <w:pPr>
              <w:pStyle w:val="ListParagraph"/>
              <w:numPr>
                <w:ilvl w:val="0"/>
                <w:numId w:val="29"/>
              </w:numPr>
              <w:overflowPunct/>
              <w:autoSpaceDE/>
              <w:autoSpaceDN/>
              <w:adjustRightInd/>
              <w:spacing w:before="120" w:after="160" w:line="276" w:lineRule="auto"/>
              <w:ind w:firstLineChars="0"/>
              <w:contextualSpacing/>
              <w:textAlignment w:val="auto"/>
            </w:pPr>
            <w:r w:rsidRPr="00CD135A">
              <w:t>For the choice of token dimension and feature dimension,</w:t>
            </w:r>
          </w:p>
          <w:p w14:paraId="1D0E4AE2" w14:textId="77777777" w:rsidR="00691CB5" w:rsidRPr="00524E25"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highlight w:val="yellow"/>
              </w:rPr>
            </w:pPr>
            <w:r w:rsidRPr="00524E25">
              <w:rPr>
                <w:highlight w:val="yellow"/>
              </w:rPr>
              <w:t>Alt 1: Use subband as the token dimension and Tx port as a feature dimension</w:t>
            </w:r>
          </w:p>
          <w:p w14:paraId="485B8530" w14:textId="77777777" w:rsidR="00691CB5" w:rsidRPr="00524E25" w:rsidRDefault="00691CB5" w:rsidP="00A13FBE">
            <w:pPr>
              <w:pStyle w:val="ListParagraph"/>
              <w:numPr>
                <w:ilvl w:val="2"/>
                <w:numId w:val="29"/>
              </w:numPr>
              <w:overflowPunct/>
              <w:autoSpaceDE/>
              <w:autoSpaceDN/>
              <w:adjustRightInd/>
              <w:spacing w:before="120" w:after="160" w:line="276" w:lineRule="auto"/>
              <w:ind w:firstLineChars="0"/>
              <w:contextualSpacing/>
              <w:textAlignment w:val="auto"/>
              <w:rPr>
                <w:highlight w:val="yellow"/>
              </w:rPr>
            </w:pPr>
            <w:r w:rsidRPr="00524E25">
              <w:rPr>
                <w:highlight w:val="yellow"/>
              </w:rPr>
              <w:t>The number of tokens varies with the number of subbands.</w:t>
            </w:r>
          </w:p>
          <w:p w14:paraId="7A115F0C"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pPr>
            <w:r w:rsidRPr="00CD135A">
              <w:lastRenderedPageBreak/>
              <w:t>Alt 2: Use Tx port as the token dimension and subband as a feature dimension</w:t>
            </w:r>
          </w:p>
          <w:p w14:paraId="07783CAF" w14:textId="77777777" w:rsidR="00691CB5" w:rsidRPr="00CD135A" w:rsidRDefault="00691CB5" w:rsidP="00A13FBE">
            <w:pPr>
              <w:pStyle w:val="ListParagraph"/>
              <w:numPr>
                <w:ilvl w:val="2"/>
                <w:numId w:val="29"/>
              </w:numPr>
              <w:overflowPunct/>
              <w:autoSpaceDE/>
              <w:autoSpaceDN/>
              <w:adjustRightInd/>
              <w:spacing w:before="120" w:after="160" w:line="276" w:lineRule="auto"/>
              <w:ind w:firstLineChars="0"/>
              <w:contextualSpacing/>
              <w:textAlignment w:val="auto"/>
            </w:pPr>
            <w:r w:rsidRPr="00CD135A">
              <w:t>The number of tokens varies with the number of Tx ports.</w:t>
            </w:r>
          </w:p>
          <w:p w14:paraId="2ABCB9A7"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pPr>
            <w:r w:rsidRPr="00CD135A">
              <w:t>Alt 3: Use a fixed-size sub-block of Tx ports and subbands matrix (e.g., n_Tx_ports*m_Subbands) as a token and represent the input as a sequence of tokens.</w:t>
            </w:r>
          </w:p>
          <w:p w14:paraId="252AF85D" w14:textId="77777777" w:rsidR="00691CB5" w:rsidRPr="00CD135A" w:rsidRDefault="00691CB5" w:rsidP="00A13FBE">
            <w:pPr>
              <w:pStyle w:val="ListParagraph"/>
              <w:numPr>
                <w:ilvl w:val="2"/>
                <w:numId w:val="29"/>
              </w:numPr>
              <w:overflowPunct/>
              <w:autoSpaceDE/>
              <w:autoSpaceDN/>
              <w:adjustRightInd/>
              <w:spacing w:before="120" w:after="160" w:line="276" w:lineRule="auto"/>
              <w:ind w:firstLineChars="0"/>
              <w:contextualSpacing/>
              <w:textAlignment w:val="auto"/>
            </w:pPr>
            <w:r w:rsidRPr="00CD135A">
              <w:t>The number of tokens varies with the number of Tx ports and the number of subbands.</w:t>
            </w:r>
          </w:p>
          <w:p w14:paraId="7C86C034" w14:textId="77777777" w:rsidR="00691CB5" w:rsidRPr="00CD135A" w:rsidRDefault="00691CB5" w:rsidP="00A13FBE">
            <w:pPr>
              <w:pStyle w:val="ListParagraph"/>
              <w:numPr>
                <w:ilvl w:val="0"/>
                <w:numId w:val="29"/>
              </w:numPr>
              <w:overflowPunct/>
              <w:autoSpaceDE/>
              <w:autoSpaceDN/>
              <w:adjustRightInd/>
              <w:spacing w:before="120" w:after="160" w:line="276" w:lineRule="auto"/>
              <w:ind w:firstLineChars="0"/>
              <w:contextualSpacing/>
              <w:textAlignment w:val="auto"/>
            </w:pPr>
            <w:r w:rsidRPr="00CD135A">
              <w:t xml:space="preserve">For scalability over the feature dimension, </w:t>
            </w:r>
          </w:p>
          <w:p w14:paraId="5888827A"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pPr>
            <w:r w:rsidRPr="00CD135A">
              <w:t>Alt1: specific embedding layer for each feature size</w:t>
            </w:r>
          </w:p>
          <w:p w14:paraId="08025844" w14:textId="77777777" w:rsidR="00691CB5" w:rsidRPr="00524E25"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highlight w:val="yellow"/>
              </w:rPr>
            </w:pPr>
            <w:r w:rsidRPr="00524E25">
              <w:rPr>
                <w:highlight w:val="yellow"/>
              </w:rPr>
              <w:t xml:space="preserve">Alt2: a common embedding layer with padding (e.g., zero-padding or other techniques for padding values) </w:t>
            </w:r>
          </w:p>
          <w:p w14:paraId="5D00E94A" w14:textId="77777777" w:rsidR="00691CB5" w:rsidRPr="00CD135A" w:rsidRDefault="00691CB5" w:rsidP="00A13FBE">
            <w:pPr>
              <w:pStyle w:val="ListParagraph"/>
              <w:numPr>
                <w:ilvl w:val="0"/>
                <w:numId w:val="29"/>
              </w:numPr>
              <w:overflowPunct/>
              <w:autoSpaceDE/>
              <w:autoSpaceDN/>
              <w:adjustRightInd/>
              <w:spacing w:before="120" w:after="160" w:line="276" w:lineRule="auto"/>
              <w:ind w:firstLineChars="0"/>
              <w:contextualSpacing/>
              <w:textAlignment w:val="auto"/>
            </w:pPr>
            <w:r w:rsidRPr="00CD135A">
              <w:t xml:space="preserve">For scalability over the token dimension, </w:t>
            </w:r>
          </w:p>
          <w:p w14:paraId="0702ABC1"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pPr>
            <w:r w:rsidRPr="00CD135A">
              <w:t>Alt1: positional embedding specific to each token index</w:t>
            </w:r>
          </w:p>
          <w:p w14:paraId="0C83C5DC" w14:textId="77777777" w:rsidR="00691CB5" w:rsidRPr="00CD135A" w:rsidRDefault="00F669A7" w:rsidP="00A13FBE">
            <w:pPr>
              <w:pStyle w:val="ListParagraph"/>
              <w:numPr>
                <w:ilvl w:val="2"/>
                <w:numId w:val="29"/>
              </w:numPr>
              <w:overflowPunct/>
              <w:autoSpaceDE/>
              <w:autoSpaceDN/>
              <w:adjustRightInd/>
              <w:spacing w:before="120" w:after="160" w:line="276" w:lineRule="auto"/>
              <w:ind w:firstLineChars="0"/>
              <w:contextualSpacing/>
              <w:textAlignment w:val="auto"/>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691CB5" w:rsidRPr="00CD135A">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691CB5" w:rsidRPr="00CD135A">
              <w:t xml:space="preserve"> token positions are used as input.</w:t>
            </w:r>
          </w:p>
          <w:p w14:paraId="364A4BFC" w14:textId="77777777" w:rsidR="00691CB5" w:rsidRPr="00524E25"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highlight w:val="yellow"/>
              </w:rPr>
            </w:pPr>
            <w:r w:rsidRPr="00524E25">
              <w:rPr>
                <w:highlight w:val="yellow"/>
              </w:rPr>
              <w:t xml:space="preserve">Alt2: </w:t>
            </w:r>
            <w:r w:rsidRPr="00524E25">
              <w:rPr>
                <w:highlight w:val="yellow"/>
                <w:lang w:eastAsia="zh-CN"/>
              </w:rPr>
              <w:t>P</w:t>
            </w:r>
            <w:r w:rsidRPr="00524E25">
              <w:rPr>
                <w:highlight w:val="yellow"/>
              </w:rPr>
              <w:t>adding at the input</w:t>
            </w:r>
          </w:p>
          <w:p w14:paraId="5B51CBD3" w14:textId="77777777" w:rsidR="00691CB5" w:rsidRPr="00CD135A" w:rsidRDefault="00691CB5" w:rsidP="00A13FBE">
            <w:pPr>
              <w:pStyle w:val="ListParagraph"/>
              <w:numPr>
                <w:ilvl w:val="0"/>
                <w:numId w:val="29"/>
              </w:numPr>
              <w:overflowPunct/>
              <w:autoSpaceDE/>
              <w:autoSpaceDN/>
              <w:adjustRightInd/>
              <w:spacing w:before="120" w:after="160" w:line="276" w:lineRule="auto"/>
              <w:ind w:firstLineChars="0"/>
              <w:contextualSpacing/>
              <w:textAlignment w:val="auto"/>
            </w:pPr>
            <w:r w:rsidRPr="00CD135A">
              <w:t>For scalability over payload configurations,</w:t>
            </w:r>
          </w:p>
          <w:p w14:paraId="6C055037"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pPr>
            <w:r w:rsidRPr="00CD135A">
              <w:t>Alt1: specific output linear layer for each payload configuration</w:t>
            </w:r>
          </w:p>
          <w:p w14:paraId="22E343C5" w14:textId="77777777" w:rsidR="00691CB5" w:rsidRPr="00524E25"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b/>
                <w:bCs/>
                <w:highlight w:val="yellow"/>
                <w:u w:val="single"/>
              </w:rPr>
            </w:pPr>
            <w:r w:rsidRPr="00524E25">
              <w:rPr>
                <w:highlight w:val="yellow"/>
              </w:rPr>
              <w:t>Alt2: truncation/masking of the output linear layer output</w:t>
            </w:r>
          </w:p>
          <w:p w14:paraId="03ABA4BA"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b/>
                <w:bCs/>
                <w:u w:val="single"/>
              </w:rPr>
            </w:pPr>
            <w:r w:rsidRPr="00CD135A">
              <w:t>Alt3: by varying quantization parameters</w:t>
            </w:r>
          </w:p>
          <w:p w14:paraId="6ADB23F9" w14:textId="77777777" w:rsidR="00691CB5" w:rsidRPr="00CD135A" w:rsidRDefault="00691CB5" w:rsidP="00A13FBE">
            <w:pPr>
              <w:pStyle w:val="ListParagraph"/>
              <w:numPr>
                <w:ilvl w:val="0"/>
                <w:numId w:val="29"/>
              </w:numPr>
              <w:overflowPunct/>
              <w:autoSpaceDE/>
              <w:autoSpaceDN/>
              <w:adjustRightInd/>
              <w:spacing w:before="120" w:after="160" w:line="276" w:lineRule="auto"/>
              <w:ind w:firstLineChars="0"/>
              <w:contextualSpacing/>
              <w:textAlignment w:val="auto"/>
              <w:rPr>
                <w:b/>
                <w:bCs/>
                <w:u w:val="single"/>
              </w:rPr>
            </w:pPr>
            <w:r w:rsidRPr="00CD135A">
              <w:rPr>
                <w:lang w:eastAsia="ko-KR"/>
              </w:rPr>
              <w:t>Notes</w:t>
            </w:r>
          </w:p>
          <w:p w14:paraId="73FFEE55"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b/>
                <w:bCs/>
                <w:u w:val="single"/>
              </w:rPr>
            </w:pPr>
            <w:r w:rsidRPr="00CD135A">
              <w:t>Other Alternatives are not precluded.</w:t>
            </w:r>
          </w:p>
          <w:p w14:paraId="3C671BDB"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pPr>
            <w:r w:rsidRPr="00CD135A">
              <w:t>Different Alternatives may be used in combination.</w:t>
            </w:r>
          </w:p>
          <w:p w14:paraId="5AA46677"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rFonts w:eastAsia="Malgun Gothic"/>
              </w:rPr>
            </w:pPr>
            <w:r w:rsidRPr="00CD135A">
              <w:t>Same/similar approach is applied at the decoder side.</w:t>
            </w:r>
          </w:p>
          <w:p w14:paraId="6FFBCF20" w14:textId="77777777" w:rsidR="00691CB5" w:rsidRPr="00CD135A" w:rsidRDefault="00691CB5" w:rsidP="00A13FBE">
            <w:pPr>
              <w:pStyle w:val="ListParagraph"/>
              <w:numPr>
                <w:ilvl w:val="0"/>
                <w:numId w:val="29"/>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t>Evaluations to consider:</w:t>
            </w:r>
          </w:p>
          <w:p w14:paraId="2A45EE0C"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t>Case 1 (scalable structure): Scalable model structure described above</w:t>
            </w:r>
          </w:p>
          <w:p w14:paraId="57C9F9BB" w14:textId="77777777" w:rsidR="00691CB5" w:rsidRPr="00CD135A" w:rsidRDefault="00691CB5" w:rsidP="00A13FBE">
            <w:pPr>
              <w:pStyle w:val="ListParagraph"/>
              <w:numPr>
                <w:ilvl w:val="2"/>
                <w:numId w:val="29"/>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t>Using model structure</w:t>
            </w:r>
            <w:r w:rsidRPr="00CD135A">
              <w:rPr>
                <w:rFonts w:eastAsia="等线"/>
                <w:lang w:eastAsia="zh-CN"/>
              </w:rPr>
              <w:t xml:space="preserve"> as indicated in above diagram with fixed hyperparameters</w:t>
            </w:r>
            <w:r w:rsidRPr="00CD135A">
              <w:rPr>
                <w:rFonts w:eastAsia="等线"/>
                <w:lang w:eastAsia="ko-KR"/>
              </w:rPr>
              <w:t>, companies may train a single parameter set or different parameter sets across different {number of Tx ports, CSI feedback payload size, bandwidth}</w:t>
            </w:r>
            <w:r w:rsidRPr="00CD135A">
              <w:rPr>
                <w:rFonts w:eastAsia="等线"/>
                <w:lang w:eastAsia="zh-CN"/>
              </w:rPr>
              <w:t xml:space="preserve"> assuming a common model structure</w:t>
            </w:r>
            <w:r w:rsidRPr="00CD135A">
              <w:rPr>
                <w:rFonts w:eastAsia="等线"/>
                <w:lang w:eastAsia="ko-KR"/>
              </w:rPr>
              <w:t>.</w:t>
            </w:r>
          </w:p>
          <w:p w14:paraId="7A7E5DB0" w14:textId="77777777" w:rsidR="00691CB5" w:rsidRPr="00CD135A" w:rsidRDefault="00691CB5" w:rsidP="00A13FBE">
            <w:pPr>
              <w:pStyle w:val="ListParagraph"/>
              <w:numPr>
                <w:ilvl w:val="2"/>
                <w:numId w:val="29"/>
              </w:numPr>
              <w:overflowPunct/>
              <w:autoSpaceDE/>
              <w:autoSpaceDN/>
              <w:adjustRightInd/>
              <w:spacing w:before="120" w:after="160" w:line="276" w:lineRule="auto"/>
              <w:ind w:firstLineChars="0"/>
              <w:contextualSpacing/>
              <w:textAlignment w:val="auto"/>
              <w:rPr>
                <w:rFonts w:eastAsia="Calibri"/>
                <w:lang w:eastAsia="zh-CN"/>
              </w:rPr>
            </w:pPr>
            <w:r w:rsidRPr="00CD135A">
              <w:rPr>
                <w:rFonts w:eastAsia="等线"/>
                <w:lang w:eastAsia="zh-CN"/>
              </w:rPr>
              <w:t>T</w:t>
            </w:r>
            <w:r w:rsidRPr="00CD135A">
              <w:t xml:space="preserve">o report whether a single parameter set or different parameter sets were used across different </w:t>
            </w:r>
            <w:r w:rsidRPr="00CD135A">
              <w:rPr>
                <w:rFonts w:eastAsia="等线"/>
                <w:lang w:eastAsia="ko-KR"/>
              </w:rPr>
              <w:t>{number of Tx ports, CSI feedback payload size, bandwidth}</w:t>
            </w:r>
            <w:r w:rsidRPr="00CD135A">
              <w:t>.</w:t>
            </w:r>
            <w:r w:rsidRPr="00CD135A">
              <w:rPr>
                <w:rFonts w:eastAsia="等线"/>
                <w:lang w:eastAsia="ko-KR"/>
              </w:rPr>
              <w:t xml:space="preserve"> (e.g., single parameter set across different payload sizes and bandwidths, different parameter set across different number of Tx ports)</w:t>
            </w:r>
          </w:p>
          <w:p w14:paraId="5CDD1236"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t>Case 2 (dedicated structure): Using model structure</w:t>
            </w:r>
            <w:r w:rsidRPr="00CD135A">
              <w:rPr>
                <w:rFonts w:eastAsia="等线"/>
                <w:lang w:eastAsia="zh-CN"/>
              </w:rPr>
              <w:t xml:space="preserve"> as indicated in above diagram with different hyperparameters</w:t>
            </w:r>
            <w:r w:rsidRPr="00CD135A">
              <w:rPr>
                <w:rFonts w:eastAsia="等线"/>
                <w:lang w:eastAsia="ko-KR"/>
              </w:rPr>
              <w:t xml:space="preserve">, where the input and the output </w:t>
            </w:r>
            <w:r w:rsidRPr="00CD135A">
              <w:rPr>
                <w:rFonts w:eastAsia="等线"/>
                <w:lang w:eastAsia="zh-CN"/>
              </w:rPr>
              <w:t>related hyperparameters</w:t>
            </w:r>
            <w:r w:rsidRPr="00CD135A">
              <w:rPr>
                <w:rFonts w:eastAsia="等线"/>
                <w:lang w:eastAsia="ko-KR"/>
              </w:rPr>
              <w:t xml:space="preserve"> are chosen optimally corresponding to each specific {number of Tx ports, CSI feedback payload size, bandwidth} without scalability considerations.</w:t>
            </w:r>
          </w:p>
          <w:p w14:paraId="28108367" w14:textId="77777777" w:rsidR="00691CB5" w:rsidRPr="00CD135A" w:rsidRDefault="00691CB5" w:rsidP="00A13FBE">
            <w:pPr>
              <w:pStyle w:val="ListParagraph"/>
              <w:numPr>
                <w:ilvl w:val="2"/>
                <w:numId w:val="29"/>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t>Different parameter sets are trained across different number of Tx ports, CSI feedback payload sizes, and bandwidths.</w:t>
            </w:r>
          </w:p>
          <w:p w14:paraId="1C8DBB78" w14:textId="77777777" w:rsidR="00691CB5" w:rsidRPr="00CD135A" w:rsidRDefault="00691CB5" w:rsidP="00A13FBE">
            <w:pPr>
              <w:pStyle w:val="ListParagraph"/>
              <w:numPr>
                <w:ilvl w:val="1"/>
                <w:numId w:val="29"/>
              </w:numPr>
              <w:overflowPunct/>
              <w:autoSpaceDE/>
              <w:autoSpaceDN/>
              <w:adjustRightInd/>
              <w:spacing w:before="120" w:after="160" w:line="276" w:lineRule="auto"/>
              <w:ind w:firstLineChars="0"/>
              <w:contextualSpacing/>
              <w:textAlignment w:val="auto"/>
              <w:rPr>
                <w:rFonts w:eastAsia="Calibri"/>
                <w:lang w:eastAsia="zh-CN"/>
              </w:rPr>
            </w:pPr>
            <w:r w:rsidRPr="00CD135A">
              <w:rPr>
                <w:rFonts w:eastAsia="等线"/>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045DB527" w14:textId="77777777" w:rsidR="00691CB5" w:rsidRPr="00CD135A" w:rsidRDefault="00691CB5" w:rsidP="00A13FBE">
            <w:pPr>
              <w:rPr>
                <w:rFonts w:ascii="Times New Roman" w:hAnsi="Times New Roman"/>
                <w:sz w:val="20"/>
                <w:szCs w:val="20"/>
                <w:highlight w:val="green"/>
              </w:rPr>
            </w:pPr>
            <w:r w:rsidRPr="00CD135A">
              <w:rPr>
                <w:rFonts w:ascii="Times New Roman" w:hAnsi="Times New Roman"/>
                <w:sz w:val="20"/>
                <w:szCs w:val="20"/>
                <w:highlight w:val="green"/>
              </w:rPr>
              <w:t>Agreement</w:t>
            </w:r>
          </w:p>
          <w:p w14:paraId="19FB4262" w14:textId="77777777" w:rsidR="00691CB5" w:rsidRPr="00CD135A" w:rsidRDefault="00691CB5" w:rsidP="00A13FBE">
            <w:pPr>
              <w:spacing w:after="160" w:line="276" w:lineRule="auto"/>
              <w:contextualSpacing/>
              <w:rPr>
                <w:rFonts w:ascii="Times New Roman" w:hAnsi="Times New Roman"/>
                <w:sz w:val="20"/>
                <w:szCs w:val="20"/>
              </w:rPr>
            </w:pPr>
            <w:r w:rsidRPr="00CD135A">
              <w:rPr>
                <w:rFonts w:ascii="Times New Roman" w:hAnsi="Times New Roman"/>
                <w:sz w:val="20"/>
                <w:szCs w:val="20"/>
              </w:rPr>
              <w:t>For model structure scalability study for temporal domain Case 0, for the choice of {number of Tx ports, CSI feedback payload size, bandwidth}, take the following as baseline values.</w:t>
            </w:r>
          </w:p>
          <w:p w14:paraId="572E5954" w14:textId="77777777" w:rsidR="00691CB5" w:rsidRPr="00CD135A" w:rsidRDefault="00691CB5" w:rsidP="00A13FBE">
            <w:pPr>
              <w:pStyle w:val="ListParagraph"/>
              <w:numPr>
                <w:ilvl w:val="0"/>
                <w:numId w:val="30"/>
              </w:numPr>
              <w:overflowPunct/>
              <w:autoSpaceDE/>
              <w:autoSpaceDN/>
              <w:adjustRightInd/>
              <w:spacing w:before="120" w:after="160" w:line="276" w:lineRule="auto"/>
              <w:ind w:firstLineChars="0"/>
              <w:contextualSpacing/>
              <w:textAlignment w:val="auto"/>
              <w:rPr>
                <w:rFonts w:eastAsia="等线"/>
                <w:lang w:eastAsia="ko-KR"/>
              </w:rPr>
            </w:pPr>
            <w:r w:rsidRPr="00CD135A">
              <w:t>N</w:t>
            </w:r>
            <w:r w:rsidRPr="00CD135A">
              <w:rPr>
                <w:lang w:eastAsia="zh-CN"/>
              </w:rPr>
              <w:t>umber of Tx ports</w:t>
            </w:r>
            <w:r w:rsidRPr="00CD135A">
              <w:rPr>
                <w:lang w:eastAsia="ko-KR"/>
              </w:rPr>
              <w:t xml:space="preserve"> </w:t>
            </w:r>
          </w:p>
          <w:p w14:paraId="2825E068" w14:textId="77777777" w:rsidR="00691CB5" w:rsidRPr="00CD135A" w:rsidRDefault="00691CB5" w:rsidP="00A13FBE">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val="fr-FR" w:eastAsia="ko-KR"/>
              </w:rPr>
            </w:pPr>
            <w:r w:rsidRPr="00CD135A">
              <w:rPr>
                <w:lang w:val="fr-FR" w:eastAsia="ko-KR"/>
              </w:rPr>
              <w:t>[N1, N2, P] = [2, 8, 2] (32 CSI-RS ports)</w:t>
            </w:r>
          </w:p>
          <w:p w14:paraId="501EB70B" w14:textId="77777777" w:rsidR="00691CB5" w:rsidRPr="00CD135A" w:rsidRDefault="00691CB5" w:rsidP="00A13FBE">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val="fr-FR" w:eastAsia="ko-KR"/>
              </w:rPr>
            </w:pPr>
            <w:r w:rsidRPr="00CD135A">
              <w:rPr>
                <w:lang w:val="fr-FR" w:eastAsia="ko-KR"/>
              </w:rPr>
              <w:t>[N1, N2, P] = [4,4,2] (32 CSI-RS ports)</w:t>
            </w:r>
          </w:p>
          <w:p w14:paraId="456102DA" w14:textId="77777777" w:rsidR="00691CB5" w:rsidRPr="00CD135A" w:rsidRDefault="00691CB5" w:rsidP="00A13FBE">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val="fr-FR" w:eastAsia="ko-KR"/>
              </w:rPr>
            </w:pPr>
            <w:r w:rsidRPr="00CD135A">
              <w:rPr>
                <w:lang w:val="fr-FR" w:eastAsia="ko-KR"/>
              </w:rPr>
              <w:t>[N1, N2, P] = [2, 4, 2] (16 CSI-RS ports)</w:t>
            </w:r>
          </w:p>
          <w:p w14:paraId="35B74794" w14:textId="77777777" w:rsidR="00691CB5" w:rsidRPr="00CD135A" w:rsidRDefault="00691CB5" w:rsidP="00A13FBE">
            <w:pPr>
              <w:pStyle w:val="ListParagraph"/>
              <w:numPr>
                <w:ilvl w:val="0"/>
                <w:numId w:val="30"/>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lastRenderedPageBreak/>
              <w:t>CSI feedback payload size</w:t>
            </w:r>
          </w:p>
          <w:p w14:paraId="5341BF33" w14:textId="77777777" w:rsidR="00691CB5" w:rsidRPr="00CD135A" w:rsidRDefault="00691CB5" w:rsidP="00A13FBE">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t>Multiple values, encouraged to pick at least one value from each of small, medium, and large payload regions X, Y, and Z.</w:t>
            </w:r>
          </w:p>
          <w:p w14:paraId="1C50D77A" w14:textId="77777777" w:rsidR="00691CB5" w:rsidRPr="00CD135A" w:rsidRDefault="00691CB5" w:rsidP="00A13FBE">
            <w:pPr>
              <w:pStyle w:val="ListParagraph"/>
              <w:numPr>
                <w:ilvl w:val="0"/>
                <w:numId w:val="30"/>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t>Bandwidth</w:t>
            </w:r>
            <w:r w:rsidRPr="00CD135A">
              <w:rPr>
                <w:rFonts w:eastAsia="等线"/>
                <w:lang w:eastAsia="zh-CN"/>
              </w:rPr>
              <w:t xml:space="preserve"> &amp; subband size</w:t>
            </w:r>
          </w:p>
          <w:p w14:paraId="646735E4" w14:textId="091A497B" w:rsidR="00691CB5" w:rsidRPr="00CD135A" w:rsidRDefault="00691CB5" w:rsidP="00A13FBE">
            <w:pPr>
              <w:pStyle w:val="ListParagraph"/>
              <w:numPr>
                <w:ilvl w:val="1"/>
                <w:numId w:val="30"/>
              </w:numPr>
              <w:overflowPunct/>
              <w:autoSpaceDE/>
              <w:autoSpaceDN/>
              <w:adjustRightInd/>
              <w:spacing w:before="120" w:after="160" w:line="276" w:lineRule="auto"/>
              <w:ind w:firstLineChars="0"/>
              <w:contextualSpacing/>
              <w:textAlignment w:val="auto"/>
              <w:rPr>
                <w:rFonts w:eastAsia="等线"/>
                <w:lang w:eastAsia="ko-KR"/>
              </w:rPr>
            </w:pPr>
            <w:r w:rsidRPr="00CD135A">
              <w:rPr>
                <w:rFonts w:eastAsia="等线"/>
                <w:lang w:eastAsia="ko-KR"/>
              </w:rPr>
              <w:t>All subbands</w:t>
            </w:r>
          </w:p>
          <w:p w14:paraId="668B4C1C" w14:textId="77777777" w:rsidR="00691CB5" w:rsidRPr="00CD135A" w:rsidRDefault="00691CB5" w:rsidP="00A13FBE">
            <w:pPr>
              <w:pStyle w:val="ListParagraph"/>
              <w:numPr>
                <w:ilvl w:val="1"/>
                <w:numId w:val="30"/>
              </w:numPr>
              <w:overflowPunct/>
              <w:autoSpaceDE/>
              <w:autoSpaceDN/>
              <w:adjustRightInd/>
              <w:spacing w:before="120" w:after="160" w:line="276" w:lineRule="auto"/>
              <w:ind w:firstLineChars="0"/>
              <w:contextualSpacing/>
              <w:textAlignment w:val="auto"/>
            </w:pPr>
            <w:r w:rsidRPr="00CD135A">
              <w:rPr>
                <w:rFonts w:eastAsia="等线"/>
                <w:lang w:eastAsia="ko-KR"/>
              </w:rPr>
              <w:t>A subset of all the subbands.</w:t>
            </w:r>
          </w:p>
        </w:tc>
      </w:tr>
    </w:tbl>
    <w:p w14:paraId="4345B605" w14:textId="77777777" w:rsidR="00A42A0E" w:rsidRDefault="00A42A0E" w:rsidP="00691CB5">
      <w:pPr>
        <w:spacing w:after="180"/>
        <w:rPr>
          <w:rFonts w:ascii="Times New Roman" w:hAnsi="Times New Roman"/>
          <w:sz w:val="20"/>
          <w:szCs w:val="20"/>
        </w:rPr>
      </w:pPr>
    </w:p>
    <w:p w14:paraId="5823D468" w14:textId="2742A877" w:rsidR="00D93C22" w:rsidRDefault="00D93C22" w:rsidP="00691CB5">
      <w:pPr>
        <w:spacing w:after="180"/>
        <w:rPr>
          <w:rFonts w:ascii="Times New Roman" w:hAnsi="Times New Roman"/>
          <w:sz w:val="20"/>
          <w:szCs w:val="20"/>
        </w:rPr>
      </w:pPr>
      <w:r w:rsidRPr="00D93C22">
        <w:rPr>
          <w:rFonts w:ascii="Times New Roman" w:hAnsi="Times New Roman" w:hint="eastAsia"/>
          <w:sz w:val="20"/>
          <w:szCs w:val="20"/>
        </w:rPr>
        <w:t>A</w:t>
      </w:r>
      <w:r w:rsidRPr="00D93C22">
        <w:rPr>
          <w:rFonts w:ascii="Times New Roman" w:hAnsi="Times New Roman"/>
          <w:sz w:val="20"/>
          <w:szCs w:val="20"/>
        </w:rPr>
        <w:t>ccording to [</w:t>
      </w:r>
      <w:r>
        <w:rPr>
          <w:rFonts w:ascii="Times New Roman" w:hAnsi="Times New Roman"/>
          <w:sz w:val="20"/>
          <w:szCs w:val="20"/>
        </w:rPr>
        <w:t>3</w:t>
      </w:r>
      <w:r w:rsidRPr="00D93C22">
        <w:rPr>
          <w:rFonts w:ascii="Times New Roman" w:hAnsi="Times New Roman"/>
          <w:sz w:val="20"/>
          <w:szCs w:val="20"/>
        </w:rPr>
        <w:t>]</w:t>
      </w:r>
      <w:r>
        <w:rPr>
          <w:rFonts w:ascii="Times New Roman" w:hAnsi="Times New Roman"/>
          <w:sz w:val="20"/>
          <w:szCs w:val="20"/>
        </w:rPr>
        <w:t xml:space="preserve">, </w:t>
      </w:r>
      <w:r w:rsidR="00D54E03">
        <w:rPr>
          <w:rFonts w:ascii="Times New Roman" w:hAnsi="Times New Roman"/>
          <w:sz w:val="20"/>
          <w:szCs w:val="20"/>
        </w:rPr>
        <w:t>following evaluation observations on model scalability are summarized.</w:t>
      </w:r>
      <w:r w:rsidR="00E302EC">
        <w:rPr>
          <w:rFonts w:ascii="Times New Roman" w:hAnsi="Times New Roman"/>
          <w:sz w:val="20"/>
          <w:szCs w:val="20"/>
        </w:rPr>
        <w:t xml:space="preserve"> </w:t>
      </w:r>
    </w:p>
    <w:tbl>
      <w:tblPr>
        <w:tblStyle w:val="TableGrid"/>
        <w:tblW w:w="0" w:type="auto"/>
        <w:tblLook w:val="04A0" w:firstRow="1" w:lastRow="0" w:firstColumn="1" w:lastColumn="0" w:noHBand="0" w:noVBand="1"/>
      </w:tblPr>
      <w:tblGrid>
        <w:gridCol w:w="9631"/>
      </w:tblGrid>
      <w:tr w:rsidR="00D54E03" w14:paraId="6BDCCBE6" w14:textId="77777777" w:rsidTr="00D54E03">
        <w:tc>
          <w:tcPr>
            <w:tcW w:w="9631" w:type="dxa"/>
          </w:tcPr>
          <w:p w14:paraId="5580CA86" w14:textId="77777777" w:rsidR="00D54E03" w:rsidRPr="00D54E03" w:rsidRDefault="00D54E03" w:rsidP="00D54E03">
            <w:pPr>
              <w:spacing w:after="160" w:line="278" w:lineRule="auto"/>
              <w:contextualSpacing/>
              <w:rPr>
                <w:rFonts w:ascii="Times New Roman" w:hAnsi="Times New Roman" w:cs="Times New Roman"/>
                <w:b/>
                <w:bCs/>
                <w:sz w:val="20"/>
                <w:szCs w:val="20"/>
              </w:rPr>
            </w:pPr>
            <w:r w:rsidRPr="00D54E03">
              <w:rPr>
                <w:rFonts w:ascii="Times New Roman" w:hAnsi="Times New Roman" w:cs="Times New Roman"/>
                <w:b/>
                <w:bCs/>
                <w:sz w:val="20"/>
                <w:szCs w:val="20"/>
              </w:rPr>
              <w:t>Observations</w:t>
            </w:r>
          </w:p>
          <w:p w14:paraId="48E64FC5"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For choice of token/feature dimension in the scalable model design, companies observe that there is small loss in SGCS for Case1 over Case2 under tokenization (Alt1, Alt3)</w:t>
            </w:r>
          </w:p>
          <w:p w14:paraId="468F1148"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tokenization (Alt1), </w:t>
            </w:r>
          </w:p>
          <w:p w14:paraId="7996D364" w14:textId="77777777" w:rsidR="00D54E03" w:rsidRPr="00524E25" w:rsidRDefault="00D54E03" w:rsidP="00D54E03">
            <w:pPr>
              <w:numPr>
                <w:ilvl w:val="0"/>
                <w:numId w:val="34"/>
              </w:numPr>
              <w:suppressAutoHyphens/>
              <w:contextualSpacing/>
              <w:rPr>
                <w:rFonts w:ascii="Times New Roman" w:hAnsi="Times New Roman" w:cs="Times New Roman"/>
                <w:sz w:val="20"/>
                <w:szCs w:val="20"/>
                <w:highlight w:val="yellow"/>
                <w:lang w:eastAsia="x-none"/>
              </w:rPr>
            </w:pPr>
            <w:r w:rsidRPr="00524E25">
              <w:rPr>
                <w:rFonts w:ascii="Times New Roman" w:hAnsi="Times New Roman" w:cs="Times New Roman"/>
                <w:sz w:val="20"/>
                <w:szCs w:val="20"/>
                <w:highlight w:val="yellow"/>
                <w:lang w:eastAsia="x-none"/>
              </w:rPr>
              <w:t>8 sources [Qualcomm, CATT, Xiaomi, vivo, ZTE, Fujitsu, Samsung, Huawei] observe that average gain in SGCS of Case 1 over Case 2 is in the range of -3.34% to 0.33% with median value of -1.10%</w:t>
            </w:r>
          </w:p>
          <w:p w14:paraId="2A38942C"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2 sources [CATT, Xiaomi] observe average gain in SGCS of Case 1 (scalable structure) over benchmark [G1] is in the range of 2.04% to 7.84% with median value of 6.61%</w:t>
            </w:r>
          </w:p>
          <w:p w14:paraId="579924BD"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3 sources [</w:t>
            </w:r>
            <w:proofErr w:type="gramStart"/>
            <w:r w:rsidRPr="00D54E03">
              <w:rPr>
                <w:rFonts w:ascii="Times New Roman" w:hAnsi="Times New Roman" w:cs="Times New Roman"/>
                <w:sz w:val="20"/>
                <w:szCs w:val="20"/>
                <w:lang w:eastAsia="x-none"/>
              </w:rPr>
              <w:t>CATT,  Xiaomi</w:t>
            </w:r>
            <w:proofErr w:type="gramEnd"/>
            <w:r w:rsidRPr="00D54E03">
              <w:rPr>
                <w:rFonts w:ascii="Times New Roman" w:hAnsi="Times New Roman" w:cs="Times New Roman"/>
                <w:sz w:val="20"/>
                <w:szCs w:val="20"/>
                <w:lang w:eastAsia="x-none"/>
              </w:rPr>
              <w:t>, Ericsson] observe average gain (%) in SGCS of Case 2 (scalable structure) over benchmark [G2] is in the range of 5.17% to 10.2% with median value of 10.1%</w:t>
            </w:r>
          </w:p>
          <w:p w14:paraId="29234ED0"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tokenization (Alt3), </w:t>
            </w:r>
          </w:p>
          <w:p w14:paraId="4A934778"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[vivo] observes average gain (%) in SGCS of Case 1 over Case 2 is in the range of -0.7% to 0.4% with median value of -0.3%</w:t>
            </w:r>
          </w:p>
          <w:p w14:paraId="0F29B27E"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 xml:space="preserve">1 source [Ericsson] observes average gain (%) in SGCS of Case 2 (scalable structure) over benchmark [G2] is in the range of 5.4% to 6% </w:t>
            </w:r>
          </w:p>
          <w:p w14:paraId="4DB154D4" w14:textId="77777777" w:rsidR="00D54E03" w:rsidRPr="00D54E03" w:rsidRDefault="00D54E03" w:rsidP="00D54E03">
            <w:pPr>
              <w:rPr>
                <w:rFonts w:ascii="Times New Roman" w:hAnsi="Times New Roman" w:cs="Times New Roman"/>
                <w:sz w:val="20"/>
                <w:szCs w:val="20"/>
              </w:rPr>
            </w:pPr>
          </w:p>
          <w:p w14:paraId="271026AE"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For scalability over the feature dimension, companies observe that there is small loss in SGCS for Case1 over Case2 assuming (Alt1, Alt2, Alt1+Alt2)</w:t>
            </w:r>
          </w:p>
          <w:p w14:paraId="31A896A3"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(Alt1), </w:t>
            </w:r>
          </w:p>
          <w:p w14:paraId="2BA7B240"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 xml:space="preserve">4 sources [Qualcomm, CATT, Xiaomi, </w:t>
            </w:r>
            <w:proofErr w:type="gramStart"/>
            <w:r w:rsidRPr="00D54E03">
              <w:rPr>
                <w:rFonts w:ascii="Times New Roman" w:hAnsi="Times New Roman" w:cs="Times New Roman"/>
                <w:sz w:val="20"/>
                <w:szCs w:val="20"/>
                <w:lang w:eastAsia="x-none"/>
              </w:rPr>
              <w:t>Fujitsu ]</w:t>
            </w:r>
            <w:proofErr w:type="gramEnd"/>
            <w:r w:rsidRPr="00D54E03">
              <w:rPr>
                <w:rFonts w:ascii="Times New Roman" w:hAnsi="Times New Roman" w:cs="Times New Roman"/>
                <w:sz w:val="20"/>
                <w:szCs w:val="20"/>
                <w:lang w:eastAsia="x-none"/>
              </w:rPr>
              <w:t xml:space="preserve"> observes average gain (%) in SGCS of Case 1 over Case 2 is in the range of -3.34% to -0.4% with median value of -2.08%</w:t>
            </w:r>
          </w:p>
          <w:p w14:paraId="5B6DFC38"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2 sources [CATT, Xiaomi] observe average gain (%) in SGCS of Case 1 (scalable structure) over benchmark [G1] is in the range of 3% to 7.84% with median value of 6.71%</w:t>
            </w:r>
          </w:p>
          <w:p w14:paraId="2571C850"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2 sources [CATT, Xiaomi] observe average gain (%) in SGCS of Case 2 (scalable structure) over benchmark [G2] is in the range of 5.17% to 10.2% with median value of 10.1%</w:t>
            </w:r>
          </w:p>
          <w:p w14:paraId="191E61FB"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(Alt2), </w:t>
            </w:r>
          </w:p>
          <w:p w14:paraId="3DA1A783" w14:textId="77777777" w:rsidR="00D54E03" w:rsidRPr="00524E25" w:rsidRDefault="00D54E03" w:rsidP="00D54E03">
            <w:pPr>
              <w:numPr>
                <w:ilvl w:val="0"/>
                <w:numId w:val="34"/>
              </w:numPr>
              <w:suppressAutoHyphens/>
              <w:contextualSpacing/>
              <w:rPr>
                <w:rFonts w:ascii="Times New Roman" w:hAnsi="Times New Roman" w:cs="Times New Roman"/>
                <w:sz w:val="20"/>
                <w:szCs w:val="20"/>
                <w:highlight w:val="yellow"/>
                <w:lang w:eastAsia="x-none"/>
              </w:rPr>
            </w:pPr>
            <w:r w:rsidRPr="00524E25">
              <w:rPr>
                <w:rFonts w:ascii="Times New Roman" w:hAnsi="Times New Roman" w:cs="Times New Roman"/>
                <w:sz w:val="20"/>
                <w:szCs w:val="20"/>
                <w:highlight w:val="yellow"/>
                <w:lang w:eastAsia="x-none"/>
              </w:rPr>
              <w:t>7 sources [Qualcomm, Xiaomi, vivo, ZTE, Fujitsu, Samsung, Huawei] observe average gain in SGCS of Case 1 over Case 2 is in the range of -3.2% to 0.1% with median value of -0.85%</w:t>
            </w:r>
          </w:p>
          <w:p w14:paraId="7DA41172"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gain in SGCS of Case 1 (scalable structure) over benchmark [G1] is 2.04%</w:t>
            </w:r>
          </w:p>
          <w:p w14:paraId="1A3E3FD9"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gain (%) in SGCS of Case 2 (scalable structure) over benchmark [G2] is 5.17%</w:t>
            </w:r>
          </w:p>
          <w:p w14:paraId="61241E01"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(Alt1+Alt2), </w:t>
            </w:r>
          </w:p>
          <w:p w14:paraId="419FF2B7"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[Qualcomm] observes average gain (%) in SGCS of Case 1 over Case 2 is in the range of -3.3% to -2.9% with median value of -3.1%.</w:t>
            </w:r>
          </w:p>
          <w:p w14:paraId="302F34F7" w14:textId="77777777" w:rsidR="00D54E03" w:rsidRPr="00D54E03" w:rsidRDefault="00D54E03" w:rsidP="00D54E03">
            <w:pPr>
              <w:rPr>
                <w:rFonts w:ascii="Times New Roman" w:hAnsi="Times New Roman" w:cs="Times New Roman"/>
                <w:sz w:val="20"/>
                <w:szCs w:val="20"/>
              </w:rPr>
            </w:pPr>
          </w:p>
          <w:p w14:paraId="1E0FC372"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For scalability over the token dimension, companies observe that there is small loss in SGCS for Case1 over Case2 assuming (Alt1, Alt2)</w:t>
            </w:r>
          </w:p>
          <w:p w14:paraId="5DC9AC7A"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(Alt1), </w:t>
            </w:r>
          </w:p>
          <w:p w14:paraId="1CEAA9C7"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2 sources [Qualcomm, vivo] observe average gain in SGCS of Case 1 over Case 2 is in the range of -3.2% to 0.9% with median value of -1.5%.</w:t>
            </w:r>
          </w:p>
          <w:p w14:paraId="717FE885"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(Alt2), </w:t>
            </w:r>
          </w:p>
          <w:p w14:paraId="53081D1E" w14:textId="77777777" w:rsidR="00D54E03" w:rsidRPr="00524E25" w:rsidRDefault="00D54E03" w:rsidP="00D54E03">
            <w:pPr>
              <w:numPr>
                <w:ilvl w:val="0"/>
                <w:numId w:val="34"/>
              </w:numPr>
              <w:suppressAutoHyphens/>
              <w:contextualSpacing/>
              <w:rPr>
                <w:rFonts w:ascii="Times New Roman" w:hAnsi="Times New Roman" w:cs="Times New Roman"/>
                <w:sz w:val="20"/>
                <w:szCs w:val="20"/>
                <w:highlight w:val="yellow"/>
                <w:lang w:eastAsia="x-none"/>
              </w:rPr>
            </w:pPr>
            <w:r w:rsidRPr="00524E25">
              <w:rPr>
                <w:rFonts w:ascii="Times New Roman" w:hAnsi="Times New Roman" w:cs="Times New Roman"/>
                <w:sz w:val="20"/>
                <w:szCs w:val="20"/>
                <w:highlight w:val="yellow"/>
                <w:lang w:eastAsia="x-none"/>
              </w:rPr>
              <w:lastRenderedPageBreak/>
              <w:t xml:space="preserve">3 sources [CATT, vivo, </w:t>
            </w:r>
            <w:proofErr w:type="gramStart"/>
            <w:r w:rsidRPr="00524E25">
              <w:rPr>
                <w:rFonts w:ascii="Times New Roman" w:hAnsi="Times New Roman" w:cs="Times New Roman"/>
                <w:sz w:val="20"/>
                <w:szCs w:val="20"/>
                <w:highlight w:val="yellow"/>
                <w:lang w:eastAsia="x-none"/>
              </w:rPr>
              <w:t>ZTE ]</w:t>
            </w:r>
            <w:proofErr w:type="gramEnd"/>
            <w:r w:rsidRPr="00524E25">
              <w:rPr>
                <w:rFonts w:ascii="Times New Roman" w:hAnsi="Times New Roman" w:cs="Times New Roman"/>
                <w:sz w:val="20"/>
                <w:szCs w:val="20"/>
                <w:highlight w:val="yellow"/>
                <w:lang w:eastAsia="x-none"/>
              </w:rPr>
              <w:t xml:space="preserve"> observe average gain in SGCS of Case 1 over Case 2 is in the range of -3.34% to 0.4% with median value of -0.75%.</w:t>
            </w:r>
          </w:p>
          <w:p w14:paraId="7951E9D4"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[CATT] observes average gain (%) in SGCS of Case 1 (scalable structure) over benchmark [G1] is in the range of 6.51% to 7.84% with median value of 6.87%</w:t>
            </w:r>
          </w:p>
          <w:p w14:paraId="5684535D"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[CATT] observes average gain (%) in SGCS of Case 2 (scalable structure) over benchmark [G2] is in the range of 10.12% to 10.2% with median value of 10.1%</w:t>
            </w:r>
          </w:p>
          <w:p w14:paraId="2D7EFF9C" w14:textId="77777777" w:rsidR="00D54E03" w:rsidRPr="00D54E03" w:rsidRDefault="00D54E03" w:rsidP="00D54E03">
            <w:pPr>
              <w:rPr>
                <w:rFonts w:ascii="Times New Roman" w:hAnsi="Times New Roman" w:cs="Times New Roman"/>
                <w:sz w:val="20"/>
                <w:szCs w:val="20"/>
              </w:rPr>
            </w:pPr>
          </w:p>
          <w:p w14:paraId="7C20E1EE"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For scalability over the payload configurations, companies observe that there is small loss in SGCS for Case1 over Case2 assuming (Alt1, Alt2)</w:t>
            </w:r>
          </w:p>
          <w:p w14:paraId="148854A2"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(Alt1), </w:t>
            </w:r>
          </w:p>
          <w:p w14:paraId="4D23975A"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 xml:space="preserve">4 sources [Qualcomm, CATT, Xiaomi, Huawei] observe average gain (%) in SGCS of Case 1 over Case 2 is in the range of -0.73% to -3.34% with median value </w:t>
            </w:r>
            <w:proofErr w:type="gramStart"/>
            <w:r w:rsidRPr="00D54E03">
              <w:rPr>
                <w:rFonts w:ascii="Times New Roman" w:hAnsi="Times New Roman" w:cs="Times New Roman"/>
                <w:sz w:val="20"/>
                <w:szCs w:val="20"/>
                <w:lang w:eastAsia="x-none"/>
              </w:rPr>
              <w:t>of  -</w:t>
            </w:r>
            <w:proofErr w:type="gramEnd"/>
            <w:r w:rsidRPr="00D54E03">
              <w:rPr>
                <w:rFonts w:ascii="Times New Roman" w:hAnsi="Times New Roman" w:cs="Times New Roman"/>
                <w:sz w:val="20"/>
                <w:szCs w:val="20"/>
                <w:lang w:eastAsia="x-none"/>
              </w:rPr>
              <w:t>2.08%</w:t>
            </w:r>
          </w:p>
          <w:p w14:paraId="697242FE"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2 sources [CATT, Xiaomi] observe average gain (%) in SGCS of Case 1 (scalable structure) over benchmark [G1] is in the range of 3% to 7.84% with median value of 6.71%</w:t>
            </w:r>
          </w:p>
          <w:p w14:paraId="5F80E84F"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2 sources [CATT, Xiaomi] observe average gain (%) in SGCS of Case 2 (scalable structure) over benchmark [G2] is in the range of 5.17% to 10.2% with median value of 10.1%</w:t>
            </w:r>
          </w:p>
          <w:p w14:paraId="6F5CF6F6"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layer1, under (Alt2), </w:t>
            </w:r>
          </w:p>
          <w:p w14:paraId="5C7B3A85" w14:textId="77777777" w:rsidR="00D54E03" w:rsidRPr="00524E25" w:rsidRDefault="00D54E03" w:rsidP="00D54E03">
            <w:pPr>
              <w:numPr>
                <w:ilvl w:val="0"/>
                <w:numId w:val="34"/>
              </w:numPr>
              <w:suppressAutoHyphens/>
              <w:contextualSpacing/>
              <w:rPr>
                <w:rFonts w:ascii="Times New Roman" w:hAnsi="Times New Roman" w:cs="Times New Roman"/>
                <w:sz w:val="20"/>
                <w:szCs w:val="20"/>
                <w:highlight w:val="yellow"/>
                <w:lang w:eastAsia="x-none"/>
              </w:rPr>
            </w:pPr>
            <w:r w:rsidRPr="00524E25">
              <w:rPr>
                <w:rFonts w:ascii="Times New Roman" w:hAnsi="Times New Roman" w:cs="Times New Roman"/>
                <w:sz w:val="20"/>
                <w:szCs w:val="20"/>
                <w:highlight w:val="yellow"/>
                <w:lang w:eastAsia="x-none"/>
              </w:rPr>
              <w:t xml:space="preserve">3 sources [Xiaomi, vivo, ZTE] observe average gain in SGCS of Case 1 over Case 2 is in the range of -3.2% to 0.4% with median value </w:t>
            </w:r>
            <w:proofErr w:type="gramStart"/>
            <w:r w:rsidRPr="00524E25">
              <w:rPr>
                <w:rFonts w:ascii="Times New Roman" w:hAnsi="Times New Roman" w:cs="Times New Roman"/>
                <w:sz w:val="20"/>
                <w:szCs w:val="20"/>
                <w:highlight w:val="yellow"/>
                <w:lang w:eastAsia="x-none"/>
              </w:rPr>
              <w:t>of  -</w:t>
            </w:r>
            <w:proofErr w:type="gramEnd"/>
            <w:r w:rsidRPr="00524E25">
              <w:rPr>
                <w:rFonts w:ascii="Times New Roman" w:hAnsi="Times New Roman" w:cs="Times New Roman"/>
                <w:sz w:val="20"/>
                <w:szCs w:val="20"/>
                <w:highlight w:val="yellow"/>
                <w:lang w:eastAsia="x-none"/>
              </w:rPr>
              <w:t>0.85%</w:t>
            </w:r>
          </w:p>
          <w:p w14:paraId="7E80E398"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average gain (%) in SGCS of Case 1 (scalable structure) over benchmark [G1] is 2.04%</w:t>
            </w:r>
          </w:p>
          <w:p w14:paraId="31A831E9" w14:textId="77777777" w:rsidR="00D54E03" w:rsidRPr="00D54E03" w:rsidRDefault="00D54E03" w:rsidP="00D54E03">
            <w:pPr>
              <w:numPr>
                <w:ilvl w:val="0"/>
                <w:numId w:val="34"/>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average gain (%) in SGCS of Case 2 (scalable structure) over benchmark [G2] is 5.17%</w:t>
            </w:r>
          </w:p>
          <w:p w14:paraId="1C8F7C82" w14:textId="77777777" w:rsidR="00D54E03" w:rsidRPr="00D54E03" w:rsidRDefault="00D54E03" w:rsidP="00D54E03">
            <w:pPr>
              <w:rPr>
                <w:rFonts w:ascii="Times New Roman" w:hAnsi="Times New Roman" w:cs="Times New Roman"/>
                <w:sz w:val="20"/>
                <w:szCs w:val="20"/>
              </w:rPr>
            </w:pPr>
          </w:p>
          <w:p w14:paraId="47A837EE"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For scalability over feature dimension, token dimension and payload configuration jointly,</w:t>
            </w:r>
          </w:p>
          <w:p w14:paraId="1B7681DA"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tokenization Alt1, feature scalability Alt1, token scalability Alt2 and payload scalability Alt1, </w:t>
            </w:r>
          </w:p>
          <w:p w14:paraId="2C603A40"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[CATT] observes average gain in SGCS of Case 1 over case 2 is in the range of -3.34%~2.03% with median value of -2.93%</w:t>
            </w:r>
          </w:p>
          <w:p w14:paraId="02A7699E"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[CATT] observes average gain (%) in SGCS of Case 1 (scalable structure) over benchmark [G1] is in the range of 6.51%~7.84%</w:t>
            </w:r>
          </w:p>
          <w:p w14:paraId="6B8B86FF"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[CATT] observes average gain (%) in SGCS of Case 2 (scalable structure) over benchmark [G2] is in the range of 10.12%~10.23%</w:t>
            </w:r>
          </w:p>
          <w:p w14:paraId="62C6D21C"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tokenization Alt1, feature scalability Alt2, token scalability Alt2, payload configuration Alt2, </w:t>
            </w:r>
          </w:p>
          <w:p w14:paraId="0077551E"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2 sources [ZTE, vivo] observe average gain in SGCS of Case 1 over case 2 is in the range of -2.8%~1.2% with median value of -1.2%, under same parameter set.</w:t>
            </w:r>
          </w:p>
          <w:p w14:paraId="7D09044F"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[vivo] observes average gain in SGCS of Case 1 over Case 2 is in the range of -0.1% ~ 0.8% with median value of 0.1%, under different parameter set</w:t>
            </w:r>
          </w:p>
          <w:p w14:paraId="5DF7558B"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For tokenization Alt1, feature scalability Alt2, token scalability Alt1, payload configuration Alt2,</w:t>
            </w:r>
          </w:p>
          <w:p w14:paraId="74998AD6" w14:textId="77777777" w:rsidR="00D54E03" w:rsidRPr="00D54E03" w:rsidRDefault="00D54E03" w:rsidP="00D54E03">
            <w:pPr>
              <w:numPr>
                <w:ilvl w:val="0"/>
                <w:numId w:val="33"/>
              </w:numPr>
              <w:suppressAutoHyphens/>
              <w:ind w:left="720"/>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[vivo] observes average gain in SGCS of Case 1 over Case 2 is in the range of -1.7% ~ 5.4% with median value of -2.6%, under same parameter set</w:t>
            </w:r>
          </w:p>
          <w:p w14:paraId="41702FAD" w14:textId="77777777" w:rsidR="00D54E03" w:rsidRPr="00D54E03" w:rsidRDefault="00D54E03" w:rsidP="00D54E03">
            <w:pPr>
              <w:numPr>
                <w:ilvl w:val="0"/>
                <w:numId w:val="33"/>
              </w:numPr>
              <w:suppressAutoHyphens/>
              <w:ind w:left="720"/>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[vivo] observes average gain in SGCS of Case 1 over Case 2 is in the range of -2.6% ~ 0% with median value of -0.9%, under different parameter set</w:t>
            </w:r>
          </w:p>
          <w:p w14:paraId="07E1C41C"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tokenization Alt1, feature scalability Alt1, payload configuration Alt1, </w:t>
            </w:r>
          </w:p>
          <w:p w14:paraId="7B2D2BDA"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average loss in SGCS of Case 1 over case 2 is in the range of -4.76%~-0.82% with median value of -2.08%.</w:t>
            </w:r>
          </w:p>
          <w:p w14:paraId="0EF8478E"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average gain (%) in SGCS of Case 1 (scalable structure) over benchmark [G1] is 3%</w:t>
            </w:r>
          </w:p>
          <w:p w14:paraId="65DDC1B7"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average gain (%) in SGCS of Case 2 (scalable structure) over benchmark [G2] is 5.17%</w:t>
            </w:r>
          </w:p>
          <w:p w14:paraId="075D6CFD"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tokenization Alt1, feature scalability Alt2, payload configuration Alt2, </w:t>
            </w:r>
          </w:p>
          <w:p w14:paraId="262AE1C8"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average loss in SGCS of Case 1 over case 2 is in the range of -5.52%~-1.59% with median value of -2.96%.</w:t>
            </w:r>
          </w:p>
          <w:p w14:paraId="56246E27"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lastRenderedPageBreak/>
              <w:t>1 source [Xiaomi] observes average gain (%) in SGCS of Case 1 (scalable structure) over benchmark [G1] is 2.04%</w:t>
            </w:r>
          </w:p>
          <w:p w14:paraId="4EA2A65C"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[Xiaomi] observes average gain (%) in SGCS of Case 2 (scalable structure) over benchmark [G2] is 5.17%</w:t>
            </w:r>
          </w:p>
          <w:p w14:paraId="50D4E93E"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 xml:space="preserve">For tokenization Alt1, feature scalability Alt2, token scalability Alt2, </w:t>
            </w:r>
          </w:p>
          <w:p w14:paraId="1304D6DA" w14:textId="77777777" w:rsidR="00D54E03" w:rsidRPr="00D54E03" w:rsidRDefault="00D54E03" w:rsidP="00D54E03">
            <w:pPr>
              <w:numPr>
                <w:ilvl w:val="0"/>
                <w:numId w:val="35"/>
              </w:numPr>
              <w:suppressAutoHyphens/>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[ZTE] observes average gain in SGCS of Case 1 over case 2 is in the range of -0.4%~0.9% with median value of -0.23%.</w:t>
            </w:r>
          </w:p>
          <w:p w14:paraId="3BB32F2E" w14:textId="77777777" w:rsidR="00D54E03" w:rsidRPr="00D54E03" w:rsidRDefault="00D54E03" w:rsidP="00D54E03">
            <w:pPr>
              <w:rPr>
                <w:rFonts w:ascii="Times New Roman" w:hAnsi="Times New Roman" w:cs="Times New Roman"/>
                <w:sz w:val="20"/>
                <w:szCs w:val="20"/>
              </w:rPr>
            </w:pPr>
            <w:r w:rsidRPr="00D54E03">
              <w:rPr>
                <w:rFonts w:ascii="Times New Roman" w:hAnsi="Times New Roman" w:cs="Times New Roman"/>
                <w:sz w:val="20"/>
                <w:szCs w:val="20"/>
              </w:rPr>
              <w:t>For tokenization Alt3, token scalability Alt1, payload configuration Alt2,</w:t>
            </w:r>
          </w:p>
          <w:p w14:paraId="6425C436" w14:textId="77777777" w:rsidR="00D54E03" w:rsidRPr="00D54E03" w:rsidRDefault="00D54E03" w:rsidP="00D54E03">
            <w:pPr>
              <w:numPr>
                <w:ilvl w:val="0"/>
                <w:numId w:val="33"/>
              </w:numPr>
              <w:suppressAutoHyphens/>
              <w:ind w:left="720"/>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[vivo] observes average gain in SGCS of Case 1 over Case 2 is in the range of -2.1% ~ 1.6% with median value of -0.5%, under same parameter set</w:t>
            </w:r>
          </w:p>
          <w:p w14:paraId="17E536EB" w14:textId="77777777" w:rsidR="00D54E03" w:rsidRPr="00D54E03" w:rsidRDefault="00D54E03" w:rsidP="00D54E03">
            <w:pPr>
              <w:numPr>
                <w:ilvl w:val="0"/>
                <w:numId w:val="33"/>
              </w:numPr>
              <w:suppressAutoHyphens/>
              <w:ind w:left="720"/>
              <w:contextualSpacing/>
              <w:rPr>
                <w:rFonts w:ascii="Times New Roman" w:hAnsi="Times New Roman" w:cs="Times New Roman"/>
                <w:sz w:val="20"/>
                <w:szCs w:val="20"/>
                <w:lang w:eastAsia="x-none"/>
              </w:rPr>
            </w:pPr>
            <w:r w:rsidRPr="00D54E03">
              <w:rPr>
                <w:rFonts w:ascii="Times New Roman" w:hAnsi="Times New Roman" w:cs="Times New Roman"/>
                <w:sz w:val="20"/>
                <w:szCs w:val="20"/>
                <w:lang w:eastAsia="x-none"/>
              </w:rPr>
              <w:t>1 source [vivo] observes average gain in SGCS of Case 1 over Case 2 is in the range of -0.8% ~ 0% with median value of -0.4%, under different parameter set</w:t>
            </w:r>
          </w:p>
          <w:p w14:paraId="4E1DE4BB" w14:textId="77777777" w:rsidR="00D54E03" w:rsidRPr="00D54E03" w:rsidRDefault="00D54E03" w:rsidP="00691CB5">
            <w:pPr>
              <w:rPr>
                <w:rFonts w:ascii="Times New Roman" w:hAnsi="Times New Roman"/>
                <w:sz w:val="20"/>
                <w:szCs w:val="20"/>
              </w:rPr>
            </w:pPr>
          </w:p>
        </w:tc>
      </w:tr>
    </w:tbl>
    <w:p w14:paraId="1BF9CD72" w14:textId="77777777" w:rsidR="00D54E03" w:rsidRPr="00D54E03" w:rsidRDefault="00D54E03" w:rsidP="00691CB5">
      <w:pPr>
        <w:spacing w:after="180"/>
        <w:rPr>
          <w:rFonts w:ascii="Times New Roman" w:hAnsi="Times New Roman"/>
          <w:sz w:val="20"/>
          <w:szCs w:val="20"/>
        </w:rPr>
      </w:pPr>
    </w:p>
    <w:p w14:paraId="08DA11BC" w14:textId="031F5486" w:rsidR="00691CB5" w:rsidRDefault="00691CB5" w:rsidP="00691CB5">
      <w:pPr>
        <w:spacing w:after="180"/>
        <w:rPr>
          <w:rFonts w:ascii="Times New Roman" w:hAnsi="Times New Roman"/>
          <w:b/>
          <w:bCs/>
          <w:sz w:val="20"/>
          <w:szCs w:val="20"/>
        </w:rPr>
      </w:pPr>
      <w:r w:rsidRPr="0049144C">
        <w:rPr>
          <w:rFonts w:ascii="Times New Roman" w:hAnsi="Times New Roman"/>
          <w:b/>
          <w:bCs/>
          <w:sz w:val="20"/>
          <w:szCs w:val="20"/>
        </w:rPr>
        <w:t xml:space="preserve">Observation </w:t>
      </w:r>
      <w:r>
        <w:rPr>
          <w:rFonts w:ascii="Times New Roman" w:hAnsi="Times New Roman"/>
          <w:b/>
          <w:bCs/>
          <w:sz w:val="20"/>
          <w:szCs w:val="20"/>
        </w:rPr>
        <w:t>1</w:t>
      </w:r>
      <w:r w:rsidRPr="0049144C">
        <w:rPr>
          <w:rFonts w:ascii="Times New Roman" w:hAnsi="Times New Roman"/>
          <w:b/>
          <w:bCs/>
          <w:sz w:val="20"/>
          <w:szCs w:val="20"/>
        </w:rPr>
        <w:t xml:space="preserve">: </w:t>
      </w:r>
      <w:r>
        <w:rPr>
          <w:rFonts w:ascii="Times New Roman" w:hAnsi="Times New Roman"/>
          <w:b/>
          <w:bCs/>
          <w:sz w:val="20"/>
          <w:szCs w:val="20"/>
        </w:rPr>
        <w:t>Three scalability aspects, the number of Tx ports, CSI feedback payload size and subband number are considered variable to verify the model scalability in RAN1.</w:t>
      </w:r>
    </w:p>
    <w:p w14:paraId="30E72161" w14:textId="77777777" w:rsidR="00691CB5" w:rsidRPr="00EE7796" w:rsidRDefault="00691CB5" w:rsidP="00691CB5">
      <w:pPr>
        <w:spacing w:after="180"/>
        <w:rPr>
          <w:rFonts w:ascii="Times New Roman" w:hAnsi="Times New Roman"/>
          <w:sz w:val="20"/>
          <w:szCs w:val="20"/>
          <w:lang w:val="en-GB"/>
        </w:rPr>
      </w:pPr>
      <w:r w:rsidRPr="00EE7796">
        <w:rPr>
          <w:rFonts w:ascii="Times New Roman" w:hAnsi="Times New Roman" w:hint="eastAsia"/>
          <w:sz w:val="20"/>
          <w:szCs w:val="20"/>
          <w:lang w:val="en-GB"/>
        </w:rPr>
        <w:t>T</w:t>
      </w:r>
      <w:r w:rsidRPr="00EE7796">
        <w:rPr>
          <w:rFonts w:ascii="Times New Roman" w:hAnsi="Times New Roman"/>
          <w:sz w:val="20"/>
          <w:szCs w:val="20"/>
          <w:lang w:val="en-GB"/>
        </w:rPr>
        <w:t>here are</w:t>
      </w:r>
      <w:r>
        <w:rPr>
          <w:rFonts w:ascii="Times New Roman" w:hAnsi="Times New Roman"/>
          <w:sz w:val="20"/>
          <w:szCs w:val="20"/>
          <w:lang w:val="en-GB"/>
        </w:rPr>
        <w:t xml:space="preserve"> too many potential combinations of the variable three aspects. To reduce the workload of simulation, RAN4 need to select a subset of all the alternatives, including typical Tx port number and antenna layout, typical payload sizes and typical subband number.</w:t>
      </w:r>
    </w:p>
    <w:p w14:paraId="5C9E0A6B" w14:textId="1DFFCF66" w:rsidR="00B66841" w:rsidRDefault="00B66841" w:rsidP="00B66841">
      <w:pPr>
        <w:spacing w:after="180"/>
        <w:rPr>
          <w:rFonts w:ascii="Times New Roman" w:hAnsi="Times New Roman" w:cs="Times New Roman"/>
          <w:b/>
          <w:bCs/>
          <w:sz w:val="20"/>
          <w:szCs w:val="20"/>
        </w:rPr>
      </w:pPr>
      <w:r w:rsidRPr="0067062F">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67062F">
        <w:rPr>
          <w:rFonts w:ascii="Times New Roman" w:hAnsi="Times New Roman" w:cs="Times New Roman"/>
          <w:b/>
          <w:bCs/>
          <w:sz w:val="20"/>
          <w:szCs w:val="20"/>
        </w:rPr>
        <w:t xml:space="preserve">: RAN4 should determine a set of combinations </w:t>
      </w:r>
      <w:r>
        <w:rPr>
          <w:rFonts w:ascii="Times New Roman" w:hAnsi="Times New Roman" w:cs="Times New Roman"/>
          <w:b/>
          <w:bCs/>
          <w:sz w:val="20"/>
          <w:szCs w:val="20"/>
        </w:rPr>
        <w:t>with typical values of</w:t>
      </w:r>
      <w:r w:rsidRPr="0067062F">
        <w:rPr>
          <w:rFonts w:ascii="Times New Roman" w:hAnsi="Times New Roman" w:cs="Times New Roman"/>
          <w:b/>
          <w:bCs/>
          <w:sz w:val="20"/>
          <w:szCs w:val="20"/>
        </w:rPr>
        <w:t xml:space="preserve"> Tx port number and antenna layout, CSI feedback payload size and subband number to align the scalability solutions.</w:t>
      </w:r>
    </w:p>
    <w:p w14:paraId="637BB9DD" w14:textId="39FF7BBB" w:rsidR="00FB07AE" w:rsidRDefault="00FB07AE" w:rsidP="00691CB5">
      <w:pPr>
        <w:spacing w:after="180"/>
        <w:rPr>
          <w:rFonts w:ascii="Times New Roman" w:hAnsi="Times New Roman"/>
          <w:sz w:val="20"/>
          <w:szCs w:val="20"/>
        </w:rPr>
      </w:pPr>
      <w:r>
        <w:rPr>
          <w:rFonts w:ascii="Times New Roman" w:hAnsi="Times New Roman"/>
          <w:sz w:val="20"/>
          <w:szCs w:val="20"/>
        </w:rPr>
        <w:t xml:space="preserve">The preferred model scalability methods with acceptable losses are highlighted above and summarized into </w:t>
      </w:r>
      <w:r w:rsidR="00AB5BCA">
        <w:rPr>
          <w:rFonts w:ascii="Times New Roman" w:hAnsi="Times New Roman"/>
          <w:sz w:val="20"/>
          <w:szCs w:val="20"/>
        </w:rPr>
        <w:t>Table 1</w:t>
      </w:r>
      <w:r>
        <w:rPr>
          <w:rFonts w:ascii="Times New Roman" w:hAnsi="Times New Roman"/>
          <w:sz w:val="20"/>
          <w:szCs w:val="20"/>
        </w:rPr>
        <w:t>.</w:t>
      </w:r>
      <w:r w:rsidR="007A5D37">
        <w:rPr>
          <w:rFonts w:ascii="Times New Roman" w:hAnsi="Times New Roman"/>
          <w:sz w:val="20"/>
          <w:szCs w:val="20"/>
        </w:rPr>
        <w:t xml:space="preserve"> It could be used as the starting point for RAN4 aligning the scalable models.</w:t>
      </w:r>
    </w:p>
    <w:p w14:paraId="5A73AD7A" w14:textId="4F24F53D" w:rsidR="00AB5BCA" w:rsidRPr="00AB5BCA" w:rsidRDefault="00AB5BCA" w:rsidP="00691CB5">
      <w:pPr>
        <w:spacing w:after="180"/>
        <w:rPr>
          <w:rFonts w:ascii="Times New Roman" w:hAnsi="Times New Roman"/>
          <w:b/>
          <w:bCs/>
          <w:sz w:val="20"/>
          <w:szCs w:val="20"/>
        </w:rPr>
      </w:pPr>
      <w:r w:rsidRPr="00AB5BCA">
        <w:rPr>
          <w:rFonts w:ascii="Times New Roman" w:hAnsi="Times New Roman" w:hint="eastAsia"/>
          <w:b/>
          <w:bCs/>
          <w:sz w:val="20"/>
          <w:szCs w:val="20"/>
        </w:rPr>
        <w:t>P</w:t>
      </w:r>
      <w:r w:rsidRPr="00AB5BCA">
        <w:rPr>
          <w:rFonts w:ascii="Times New Roman" w:hAnsi="Times New Roman"/>
          <w:b/>
          <w:bCs/>
          <w:sz w:val="20"/>
          <w:szCs w:val="20"/>
        </w:rPr>
        <w:t>roposal 2:</w:t>
      </w:r>
      <w:r>
        <w:rPr>
          <w:rFonts w:ascii="Times New Roman" w:hAnsi="Times New Roman"/>
          <w:b/>
          <w:bCs/>
          <w:sz w:val="20"/>
          <w:szCs w:val="20"/>
        </w:rPr>
        <w:t xml:space="preserve"> </w:t>
      </w:r>
      <w:r w:rsidR="00B66841">
        <w:rPr>
          <w:rFonts w:ascii="Times New Roman" w:hAnsi="Times New Roman"/>
          <w:b/>
          <w:bCs/>
          <w:sz w:val="20"/>
          <w:szCs w:val="20"/>
        </w:rPr>
        <w:t xml:space="preserve">The </w:t>
      </w:r>
      <w:r>
        <w:rPr>
          <w:rFonts w:ascii="Times New Roman" w:hAnsi="Times New Roman"/>
          <w:b/>
          <w:bCs/>
          <w:sz w:val="20"/>
          <w:szCs w:val="20"/>
        </w:rPr>
        <w:t>following model scalability methods could be the starting point for aligning the scalable models in RAN4.</w:t>
      </w:r>
    </w:p>
    <w:p w14:paraId="71D86DB9" w14:textId="2FB67ECE" w:rsidR="00525BA4" w:rsidRPr="006D34C5" w:rsidRDefault="00525BA4" w:rsidP="00525BA4">
      <w:pPr>
        <w:spacing w:after="180"/>
        <w:jc w:val="center"/>
        <w:rPr>
          <w:rFonts w:ascii="Times New Roman" w:hAnsi="Times New Roman"/>
          <w:b/>
          <w:bCs/>
          <w:sz w:val="20"/>
          <w:szCs w:val="20"/>
        </w:rPr>
      </w:pPr>
      <w:r w:rsidRPr="006D34C5">
        <w:rPr>
          <w:rFonts w:ascii="Times New Roman" w:hAnsi="Times New Roman"/>
          <w:b/>
          <w:bCs/>
          <w:sz w:val="20"/>
          <w:szCs w:val="20"/>
        </w:rPr>
        <w:t xml:space="preserve">Table </w:t>
      </w:r>
      <w:r>
        <w:rPr>
          <w:rFonts w:ascii="Times New Roman" w:hAnsi="Times New Roman"/>
          <w:b/>
          <w:bCs/>
          <w:sz w:val="20"/>
          <w:szCs w:val="20"/>
        </w:rPr>
        <w:t>1</w:t>
      </w:r>
      <w:r w:rsidRPr="006D34C5">
        <w:rPr>
          <w:rFonts w:ascii="Times New Roman" w:hAnsi="Times New Roman"/>
          <w:b/>
          <w:bCs/>
          <w:sz w:val="20"/>
          <w:szCs w:val="20"/>
        </w:rPr>
        <w:t xml:space="preserve">. </w:t>
      </w:r>
      <w:r w:rsidR="00AB5BCA">
        <w:rPr>
          <w:rFonts w:ascii="Times New Roman" w:hAnsi="Times New Roman"/>
          <w:b/>
          <w:bCs/>
          <w:sz w:val="20"/>
          <w:szCs w:val="20"/>
        </w:rPr>
        <w:t xml:space="preserve">basic </w:t>
      </w:r>
      <w:r w:rsidR="00CE26A2">
        <w:rPr>
          <w:rFonts w:ascii="Times New Roman" w:hAnsi="Times New Roman"/>
          <w:b/>
          <w:bCs/>
          <w:sz w:val="20"/>
          <w:szCs w:val="20"/>
        </w:rPr>
        <w:t>methods for model scalability</w:t>
      </w:r>
      <w:r w:rsidR="00186B0E">
        <w:rPr>
          <w:rFonts w:ascii="Times New Roman" w:hAnsi="Times New Roman"/>
          <w:b/>
          <w:bCs/>
          <w:sz w:val="20"/>
          <w:szCs w:val="20"/>
        </w:rPr>
        <w:t xml:space="preserve"> of Transformer backbone</w:t>
      </w:r>
      <w:r w:rsidRPr="006D34C5">
        <w:rPr>
          <w:rFonts w:ascii="Times New Roman" w:hAnsi="Times New Roman"/>
          <w:b/>
          <w:bCs/>
          <w:sz w:val="20"/>
          <w:szCs w:val="20"/>
        </w:rPr>
        <w:t>.</w:t>
      </w:r>
    </w:p>
    <w:tbl>
      <w:tblPr>
        <w:tblStyle w:val="TableGrid"/>
        <w:tblW w:w="0" w:type="auto"/>
        <w:tblLook w:val="04A0" w:firstRow="1" w:lastRow="0" w:firstColumn="1" w:lastColumn="0" w:noHBand="0" w:noVBand="1"/>
      </w:tblPr>
      <w:tblGrid>
        <w:gridCol w:w="4106"/>
        <w:gridCol w:w="5525"/>
      </w:tblGrid>
      <w:tr w:rsidR="00186B0E" w:rsidRPr="007213B5" w14:paraId="049026AE" w14:textId="77777777" w:rsidTr="00060BB7">
        <w:tc>
          <w:tcPr>
            <w:tcW w:w="4106" w:type="dxa"/>
          </w:tcPr>
          <w:p w14:paraId="0AD3FB13" w14:textId="2BCE1E26" w:rsidR="00186B0E" w:rsidRPr="007213B5" w:rsidRDefault="00060BB7" w:rsidP="00691CB5">
            <w:pPr>
              <w:rPr>
                <w:rFonts w:ascii="Times New Roman" w:hAnsi="Times New Roman"/>
                <w:b/>
                <w:bCs/>
                <w:sz w:val="20"/>
                <w:szCs w:val="20"/>
              </w:rPr>
            </w:pPr>
            <w:r w:rsidRPr="007213B5">
              <w:rPr>
                <w:rFonts w:ascii="Times New Roman" w:hAnsi="Times New Roman"/>
                <w:b/>
                <w:bCs/>
                <w:sz w:val="20"/>
                <w:szCs w:val="20"/>
              </w:rPr>
              <w:t>choice of token dimension and feature dimension</w:t>
            </w:r>
          </w:p>
        </w:tc>
        <w:tc>
          <w:tcPr>
            <w:tcW w:w="5525" w:type="dxa"/>
          </w:tcPr>
          <w:p w14:paraId="0153BD41" w14:textId="2C3D58F4" w:rsidR="00186B0E" w:rsidRPr="007213B5" w:rsidRDefault="00060BB7" w:rsidP="00691CB5">
            <w:pPr>
              <w:rPr>
                <w:rFonts w:ascii="Times New Roman" w:hAnsi="Times New Roman"/>
                <w:b/>
                <w:bCs/>
                <w:sz w:val="20"/>
                <w:szCs w:val="20"/>
              </w:rPr>
            </w:pPr>
            <w:r w:rsidRPr="007213B5">
              <w:rPr>
                <w:rFonts w:ascii="Times New Roman" w:hAnsi="Times New Roman"/>
                <w:b/>
                <w:bCs/>
                <w:sz w:val="20"/>
                <w:szCs w:val="20"/>
              </w:rPr>
              <w:t>Use subband as the token dimension and Tx port as a feature dimension</w:t>
            </w:r>
          </w:p>
        </w:tc>
      </w:tr>
      <w:tr w:rsidR="00186B0E" w:rsidRPr="007213B5" w14:paraId="42226642" w14:textId="77777777" w:rsidTr="00060BB7">
        <w:tc>
          <w:tcPr>
            <w:tcW w:w="4106" w:type="dxa"/>
          </w:tcPr>
          <w:p w14:paraId="2928A04E" w14:textId="0BAB0729" w:rsidR="00186B0E" w:rsidRPr="007213B5" w:rsidRDefault="00060BB7" w:rsidP="00691CB5">
            <w:pPr>
              <w:rPr>
                <w:rFonts w:ascii="Times New Roman" w:hAnsi="Times New Roman"/>
                <w:b/>
                <w:bCs/>
                <w:sz w:val="20"/>
                <w:szCs w:val="20"/>
              </w:rPr>
            </w:pPr>
            <w:r w:rsidRPr="007213B5">
              <w:rPr>
                <w:rFonts w:ascii="Times New Roman" w:hAnsi="Times New Roman"/>
                <w:b/>
                <w:bCs/>
                <w:sz w:val="20"/>
                <w:szCs w:val="20"/>
              </w:rPr>
              <w:t>scalability over the feature dimension</w:t>
            </w:r>
          </w:p>
        </w:tc>
        <w:tc>
          <w:tcPr>
            <w:tcW w:w="5525" w:type="dxa"/>
          </w:tcPr>
          <w:p w14:paraId="169A8D10" w14:textId="16EFBBDD" w:rsidR="00186B0E" w:rsidRPr="007213B5" w:rsidRDefault="00060BB7" w:rsidP="00691CB5">
            <w:pPr>
              <w:rPr>
                <w:rFonts w:ascii="Times New Roman" w:hAnsi="Times New Roman"/>
                <w:b/>
                <w:bCs/>
                <w:sz w:val="20"/>
                <w:szCs w:val="20"/>
              </w:rPr>
            </w:pPr>
            <w:r w:rsidRPr="007213B5">
              <w:rPr>
                <w:rFonts w:ascii="Times New Roman" w:hAnsi="Times New Roman"/>
                <w:b/>
                <w:bCs/>
                <w:sz w:val="20"/>
                <w:szCs w:val="20"/>
              </w:rPr>
              <w:t>a common embedding layer with padding (e.g., zero-padding or other techniques for padding values)</w:t>
            </w:r>
          </w:p>
        </w:tc>
      </w:tr>
      <w:tr w:rsidR="00186B0E" w:rsidRPr="007213B5" w14:paraId="6B139504" w14:textId="77777777" w:rsidTr="00060BB7">
        <w:tc>
          <w:tcPr>
            <w:tcW w:w="4106" w:type="dxa"/>
          </w:tcPr>
          <w:p w14:paraId="3CB9C017" w14:textId="67D99EBF" w:rsidR="00186B0E" w:rsidRPr="007213B5" w:rsidRDefault="00060BB7" w:rsidP="00691CB5">
            <w:pPr>
              <w:rPr>
                <w:rFonts w:ascii="Times New Roman" w:hAnsi="Times New Roman"/>
                <w:b/>
                <w:bCs/>
                <w:sz w:val="20"/>
                <w:szCs w:val="20"/>
              </w:rPr>
            </w:pPr>
            <w:r w:rsidRPr="007213B5">
              <w:rPr>
                <w:rFonts w:ascii="Times New Roman" w:hAnsi="Times New Roman"/>
                <w:b/>
                <w:bCs/>
                <w:sz w:val="20"/>
                <w:szCs w:val="20"/>
              </w:rPr>
              <w:t>scalability over the token dimension</w:t>
            </w:r>
          </w:p>
        </w:tc>
        <w:tc>
          <w:tcPr>
            <w:tcW w:w="5525" w:type="dxa"/>
          </w:tcPr>
          <w:p w14:paraId="3D0B06E0" w14:textId="0A223F20" w:rsidR="00186B0E" w:rsidRPr="007213B5" w:rsidRDefault="00060BB7" w:rsidP="00691CB5">
            <w:pPr>
              <w:rPr>
                <w:rFonts w:ascii="Times New Roman" w:hAnsi="Times New Roman"/>
                <w:b/>
                <w:bCs/>
                <w:sz w:val="20"/>
                <w:szCs w:val="20"/>
              </w:rPr>
            </w:pPr>
            <w:r w:rsidRPr="007213B5">
              <w:rPr>
                <w:rFonts w:ascii="Times New Roman" w:hAnsi="Times New Roman"/>
                <w:b/>
                <w:bCs/>
                <w:sz w:val="20"/>
                <w:szCs w:val="20"/>
              </w:rPr>
              <w:t>Padding at the input</w:t>
            </w:r>
          </w:p>
        </w:tc>
      </w:tr>
      <w:tr w:rsidR="00060BB7" w:rsidRPr="007213B5" w14:paraId="25CC6541" w14:textId="77777777" w:rsidTr="00060BB7">
        <w:tc>
          <w:tcPr>
            <w:tcW w:w="4106" w:type="dxa"/>
          </w:tcPr>
          <w:p w14:paraId="4695469A" w14:textId="513948C4" w:rsidR="00060BB7" w:rsidRPr="007213B5" w:rsidRDefault="00060BB7" w:rsidP="00691CB5">
            <w:pPr>
              <w:rPr>
                <w:rFonts w:ascii="Times New Roman" w:hAnsi="Times New Roman"/>
                <w:b/>
                <w:bCs/>
                <w:sz w:val="20"/>
                <w:szCs w:val="20"/>
              </w:rPr>
            </w:pPr>
            <w:r w:rsidRPr="007213B5">
              <w:rPr>
                <w:rFonts w:ascii="Times New Roman" w:hAnsi="Times New Roman"/>
                <w:b/>
                <w:bCs/>
                <w:sz w:val="20"/>
                <w:szCs w:val="20"/>
              </w:rPr>
              <w:t>scalability over payload configurations</w:t>
            </w:r>
          </w:p>
        </w:tc>
        <w:tc>
          <w:tcPr>
            <w:tcW w:w="5525" w:type="dxa"/>
          </w:tcPr>
          <w:p w14:paraId="67C2588F" w14:textId="75E21060" w:rsidR="00060BB7" w:rsidRPr="007213B5" w:rsidRDefault="00060BB7" w:rsidP="00691CB5">
            <w:pPr>
              <w:rPr>
                <w:rFonts w:ascii="Times New Roman" w:hAnsi="Times New Roman"/>
                <w:b/>
                <w:bCs/>
                <w:sz w:val="20"/>
                <w:szCs w:val="20"/>
              </w:rPr>
            </w:pPr>
            <w:r w:rsidRPr="007213B5">
              <w:rPr>
                <w:rFonts w:ascii="Times New Roman" w:hAnsi="Times New Roman"/>
                <w:b/>
                <w:bCs/>
                <w:sz w:val="20"/>
                <w:szCs w:val="20"/>
              </w:rPr>
              <w:t>truncation/masking of the output linear layer output</w:t>
            </w:r>
          </w:p>
        </w:tc>
      </w:tr>
    </w:tbl>
    <w:p w14:paraId="716FE9D4" w14:textId="77777777" w:rsidR="00B66841" w:rsidRDefault="00B66841" w:rsidP="00B66841">
      <w:pPr>
        <w:spacing w:after="180"/>
        <w:rPr>
          <w:rFonts w:ascii="Times New Roman" w:eastAsiaTheme="minorEastAsia" w:hAnsi="Times New Roman"/>
          <w:b/>
          <w:bCs/>
          <w:sz w:val="24"/>
        </w:rPr>
      </w:pPr>
    </w:p>
    <w:p w14:paraId="4CA3F39A" w14:textId="5BD765F9" w:rsidR="00435D3C" w:rsidRDefault="00435D3C"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2.2 </w:t>
      </w:r>
      <w:r w:rsidR="00831CC5" w:rsidRPr="00831CC5">
        <w:rPr>
          <w:rFonts w:ascii="Times New Roman" w:eastAsiaTheme="minorEastAsia" w:hAnsi="Times New Roman"/>
          <w:b/>
          <w:bCs/>
          <w:sz w:val="24"/>
          <w:szCs w:val="22"/>
          <w:lang w:val="en-US"/>
        </w:rPr>
        <w:t>Model structure scalability</w:t>
      </w:r>
      <w:r w:rsidR="009E34D7">
        <w:rPr>
          <w:rFonts w:ascii="Times New Roman" w:eastAsiaTheme="minorEastAsia" w:hAnsi="Times New Roman"/>
          <w:b/>
          <w:bCs/>
          <w:sz w:val="24"/>
          <w:szCs w:val="22"/>
          <w:lang w:val="en-US"/>
        </w:rPr>
        <w:t xml:space="preserve"> in Rel-20 RAN4</w:t>
      </w:r>
    </w:p>
    <w:p w14:paraId="6504E6F4" w14:textId="27B7C0A0" w:rsidR="00727F0E" w:rsidRDefault="005F01D0" w:rsidP="00EE7796">
      <w:pPr>
        <w:spacing w:after="180"/>
        <w:rPr>
          <w:rFonts w:ascii="Times New Roman" w:hAnsi="Times New Roman"/>
          <w:sz w:val="20"/>
          <w:szCs w:val="20"/>
        </w:rPr>
      </w:pPr>
      <w:r>
        <w:rPr>
          <w:rFonts w:ascii="Times New Roman" w:hAnsi="Times New Roman"/>
          <w:sz w:val="20"/>
          <w:szCs w:val="20"/>
        </w:rPr>
        <w:t xml:space="preserve">To evaluate the performance of model scalability, RAN4 should generate one mixed dataset that takes the </w:t>
      </w:r>
      <w:r w:rsidRPr="005F01D0">
        <w:rPr>
          <w:rFonts w:ascii="Times New Roman" w:hAnsi="Times New Roman"/>
          <w:sz w:val="20"/>
          <w:szCs w:val="20"/>
        </w:rPr>
        <w:t>set of typical value combinations on the scalabl</w:t>
      </w:r>
      <w:r>
        <w:rPr>
          <w:rFonts w:ascii="Times New Roman" w:hAnsi="Times New Roman"/>
          <w:sz w:val="20"/>
          <w:szCs w:val="20"/>
        </w:rPr>
        <w:t>e dimensions</w:t>
      </w:r>
      <w:r w:rsidR="004653CA">
        <w:rPr>
          <w:rFonts w:ascii="Times New Roman" w:hAnsi="Times New Roman"/>
          <w:sz w:val="20"/>
          <w:szCs w:val="20"/>
        </w:rPr>
        <w:t xml:space="preserve"> into account</w:t>
      </w:r>
      <w:r>
        <w:rPr>
          <w:rFonts w:ascii="Times New Roman" w:hAnsi="Times New Roman"/>
          <w:sz w:val="20"/>
          <w:szCs w:val="20"/>
        </w:rPr>
        <w:t>.</w:t>
      </w:r>
    </w:p>
    <w:p w14:paraId="7E27FB0D" w14:textId="2E4334B0" w:rsidR="00264250" w:rsidRDefault="00264250" w:rsidP="00264250">
      <w:pPr>
        <w:spacing w:after="180"/>
        <w:rPr>
          <w:rFonts w:ascii="Times New Roman" w:hAnsi="Times New Roman"/>
          <w:b/>
          <w:bCs/>
          <w:sz w:val="20"/>
          <w:szCs w:val="20"/>
        </w:rPr>
      </w:pPr>
      <w:r w:rsidRPr="00AB5BCA">
        <w:rPr>
          <w:rFonts w:ascii="Times New Roman" w:hAnsi="Times New Roman" w:hint="eastAsia"/>
          <w:b/>
          <w:bCs/>
          <w:sz w:val="20"/>
          <w:szCs w:val="20"/>
        </w:rPr>
        <w:t>P</w:t>
      </w:r>
      <w:r w:rsidRPr="00AB5BCA">
        <w:rPr>
          <w:rFonts w:ascii="Times New Roman" w:hAnsi="Times New Roman"/>
          <w:b/>
          <w:bCs/>
          <w:sz w:val="20"/>
          <w:szCs w:val="20"/>
        </w:rPr>
        <w:t xml:space="preserve">roposal </w:t>
      </w:r>
      <w:r>
        <w:rPr>
          <w:rFonts w:ascii="Times New Roman" w:hAnsi="Times New Roman"/>
          <w:b/>
          <w:bCs/>
          <w:sz w:val="20"/>
          <w:szCs w:val="20"/>
        </w:rPr>
        <w:t>3</w:t>
      </w:r>
      <w:r w:rsidRPr="00AB5BCA">
        <w:rPr>
          <w:rFonts w:ascii="Times New Roman" w:hAnsi="Times New Roman"/>
          <w:b/>
          <w:bCs/>
          <w:sz w:val="20"/>
          <w:szCs w:val="20"/>
        </w:rPr>
        <w:t>:</w:t>
      </w:r>
      <w:r>
        <w:rPr>
          <w:rFonts w:ascii="Times New Roman" w:hAnsi="Times New Roman"/>
          <w:b/>
          <w:bCs/>
          <w:sz w:val="20"/>
          <w:szCs w:val="20"/>
        </w:rPr>
        <w:t xml:space="preserve"> One mixed dataset should be generated that contains the typical values on the three scalable dimensions.</w:t>
      </w:r>
    </w:p>
    <w:p w14:paraId="14776243" w14:textId="390FB95A" w:rsidR="00843FAD" w:rsidRDefault="0006423C" w:rsidP="00EE7796">
      <w:pPr>
        <w:spacing w:after="18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different model backbones, different scalability methods are used. For Transformer backbone, </w:t>
      </w:r>
      <w:r w:rsidR="00967D26">
        <w:rPr>
          <w:rFonts w:ascii="Times New Roman" w:hAnsi="Times New Roman"/>
          <w:sz w:val="20"/>
          <w:szCs w:val="20"/>
        </w:rPr>
        <w:t xml:space="preserve">as provided in the above Proposal 2, the preferred methods for model scalability are provided based on RAN1 conclusion. </w:t>
      </w:r>
      <w:r>
        <w:rPr>
          <w:rFonts w:ascii="Times New Roman" w:hAnsi="Times New Roman"/>
          <w:sz w:val="20"/>
          <w:szCs w:val="20"/>
        </w:rPr>
        <w:t xml:space="preserve"> </w:t>
      </w:r>
    </w:p>
    <w:p w14:paraId="4F658F65" w14:textId="43016C32" w:rsidR="00264250" w:rsidRDefault="0006423C" w:rsidP="00EE7796">
      <w:pPr>
        <w:spacing w:after="180"/>
        <w:rPr>
          <w:rFonts w:ascii="Times New Roman" w:hAnsi="Times New Roman"/>
          <w:sz w:val="20"/>
          <w:szCs w:val="20"/>
        </w:rPr>
      </w:pPr>
      <w:r>
        <w:rPr>
          <w:rFonts w:ascii="Times New Roman" w:hAnsi="Times New Roman"/>
          <w:sz w:val="20"/>
          <w:szCs w:val="20"/>
        </w:rPr>
        <w:t>For CNN backbone, there is no need to discriminate token dimension and feature dimension.</w:t>
      </w:r>
      <w:r w:rsidR="00AA5897">
        <w:rPr>
          <w:rFonts w:ascii="Times New Roman" w:hAnsi="Times New Roman"/>
          <w:sz w:val="20"/>
          <w:szCs w:val="20"/>
        </w:rPr>
        <w:t xml:space="preserve"> Subband dimension could be appointed as the height dimension and port dimension could be appointed as the width dimension.</w:t>
      </w:r>
      <w:r w:rsidR="00BC4CD1">
        <w:rPr>
          <w:rFonts w:ascii="Times New Roman" w:hAnsi="Times New Roman"/>
          <w:sz w:val="20"/>
          <w:szCs w:val="20"/>
        </w:rPr>
        <w:t xml:space="preserve"> The </w:t>
      </w:r>
      <w:r w:rsidR="0011569E">
        <w:rPr>
          <w:rFonts w:ascii="Times New Roman" w:hAnsi="Times New Roman"/>
          <w:sz w:val="20"/>
          <w:szCs w:val="20"/>
        </w:rPr>
        <w:t xml:space="preserve">methods for model scalability of CNN backbone </w:t>
      </w:r>
      <w:r w:rsidR="00B40EBF">
        <w:rPr>
          <w:rFonts w:ascii="Times New Roman" w:hAnsi="Times New Roman"/>
          <w:sz w:val="20"/>
          <w:szCs w:val="20"/>
        </w:rPr>
        <w:t>are</w:t>
      </w:r>
      <w:r w:rsidR="0011569E">
        <w:rPr>
          <w:rFonts w:ascii="Times New Roman" w:hAnsi="Times New Roman"/>
          <w:sz w:val="20"/>
          <w:szCs w:val="20"/>
        </w:rPr>
        <w:t xml:space="preserve"> proposed as Table 2.</w:t>
      </w:r>
    </w:p>
    <w:p w14:paraId="5F241ED9" w14:textId="4C38F844" w:rsidR="008218A7" w:rsidRPr="00CD3EBC" w:rsidRDefault="008218A7" w:rsidP="008218A7">
      <w:pPr>
        <w:spacing w:after="180"/>
        <w:jc w:val="center"/>
        <w:rPr>
          <w:rFonts w:ascii="Times New Roman" w:hAnsi="Times New Roman"/>
          <w:sz w:val="20"/>
          <w:szCs w:val="20"/>
        </w:rPr>
      </w:pPr>
      <w:r w:rsidRPr="00CD3EBC">
        <w:rPr>
          <w:rFonts w:ascii="Times New Roman" w:hAnsi="Times New Roman"/>
          <w:sz w:val="20"/>
          <w:szCs w:val="20"/>
        </w:rPr>
        <w:t>Table 2. methods for model scalability of CNN backbone.</w:t>
      </w:r>
    </w:p>
    <w:tbl>
      <w:tblPr>
        <w:tblStyle w:val="TableGrid"/>
        <w:tblW w:w="0" w:type="auto"/>
        <w:tblLook w:val="04A0" w:firstRow="1" w:lastRow="0" w:firstColumn="1" w:lastColumn="0" w:noHBand="0" w:noVBand="1"/>
      </w:tblPr>
      <w:tblGrid>
        <w:gridCol w:w="4106"/>
        <w:gridCol w:w="5525"/>
      </w:tblGrid>
      <w:tr w:rsidR="008218A7" w:rsidRPr="00CD3EBC" w14:paraId="189C92D0" w14:textId="77777777" w:rsidTr="00A13FBE">
        <w:tc>
          <w:tcPr>
            <w:tcW w:w="4106" w:type="dxa"/>
          </w:tcPr>
          <w:p w14:paraId="1F646E3F" w14:textId="189A4A87" w:rsidR="008218A7" w:rsidRPr="00CD3EBC" w:rsidRDefault="008218A7" w:rsidP="00A13FBE">
            <w:pPr>
              <w:rPr>
                <w:rFonts w:ascii="Times New Roman" w:hAnsi="Times New Roman"/>
                <w:sz w:val="20"/>
                <w:szCs w:val="20"/>
              </w:rPr>
            </w:pPr>
            <w:r w:rsidRPr="00CD3EBC">
              <w:rPr>
                <w:rFonts w:ascii="Times New Roman" w:hAnsi="Times New Roman"/>
                <w:sz w:val="20"/>
                <w:szCs w:val="20"/>
              </w:rPr>
              <w:lastRenderedPageBreak/>
              <w:t xml:space="preserve">scalability over the </w:t>
            </w:r>
            <w:r w:rsidR="00956518" w:rsidRPr="00CD3EBC">
              <w:rPr>
                <w:rFonts w:ascii="Times New Roman" w:hAnsi="Times New Roman"/>
                <w:sz w:val="20"/>
                <w:szCs w:val="20"/>
              </w:rPr>
              <w:t>subband</w:t>
            </w:r>
            <w:r w:rsidRPr="00CD3EBC">
              <w:rPr>
                <w:rFonts w:ascii="Times New Roman" w:hAnsi="Times New Roman"/>
                <w:sz w:val="20"/>
                <w:szCs w:val="20"/>
              </w:rPr>
              <w:t xml:space="preserve"> dimension</w:t>
            </w:r>
          </w:p>
        </w:tc>
        <w:tc>
          <w:tcPr>
            <w:tcW w:w="5525" w:type="dxa"/>
          </w:tcPr>
          <w:p w14:paraId="6AE61ABC" w14:textId="61C2EDD7" w:rsidR="008218A7" w:rsidRPr="00CD3EBC" w:rsidRDefault="00956518" w:rsidP="00A13FBE">
            <w:pPr>
              <w:rPr>
                <w:rFonts w:ascii="Times New Roman" w:hAnsi="Times New Roman"/>
                <w:sz w:val="20"/>
                <w:szCs w:val="20"/>
              </w:rPr>
            </w:pPr>
            <w:r w:rsidRPr="00CD3EBC">
              <w:rPr>
                <w:rFonts w:ascii="Times New Roman" w:hAnsi="Times New Roman"/>
                <w:sz w:val="20"/>
                <w:szCs w:val="20"/>
              </w:rPr>
              <w:t>Padding at the input to the maximum size</w:t>
            </w:r>
          </w:p>
        </w:tc>
      </w:tr>
      <w:tr w:rsidR="008218A7" w:rsidRPr="00CD3EBC" w14:paraId="3C55DE5C" w14:textId="77777777" w:rsidTr="00A13FBE">
        <w:tc>
          <w:tcPr>
            <w:tcW w:w="4106" w:type="dxa"/>
          </w:tcPr>
          <w:p w14:paraId="49B8FA6C" w14:textId="13C53826" w:rsidR="008218A7" w:rsidRPr="00CD3EBC" w:rsidRDefault="008218A7" w:rsidP="00A13FBE">
            <w:pPr>
              <w:rPr>
                <w:rFonts w:ascii="Times New Roman" w:hAnsi="Times New Roman"/>
                <w:sz w:val="20"/>
                <w:szCs w:val="20"/>
              </w:rPr>
            </w:pPr>
            <w:r w:rsidRPr="00CD3EBC">
              <w:rPr>
                <w:rFonts w:ascii="Times New Roman" w:hAnsi="Times New Roman"/>
                <w:sz w:val="20"/>
                <w:szCs w:val="20"/>
              </w:rPr>
              <w:t xml:space="preserve">scalability over the </w:t>
            </w:r>
            <w:r w:rsidR="00956518" w:rsidRPr="00CD3EBC">
              <w:rPr>
                <w:rFonts w:ascii="Times New Roman" w:hAnsi="Times New Roman"/>
                <w:sz w:val="20"/>
                <w:szCs w:val="20"/>
              </w:rPr>
              <w:t>port</w:t>
            </w:r>
            <w:r w:rsidRPr="00CD3EBC">
              <w:rPr>
                <w:rFonts w:ascii="Times New Roman" w:hAnsi="Times New Roman"/>
                <w:sz w:val="20"/>
                <w:szCs w:val="20"/>
              </w:rPr>
              <w:t xml:space="preserve"> dimension</w:t>
            </w:r>
          </w:p>
        </w:tc>
        <w:tc>
          <w:tcPr>
            <w:tcW w:w="5525" w:type="dxa"/>
          </w:tcPr>
          <w:p w14:paraId="586BD84D" w14:textId="7D75FC95" w:rsidR="008218A7" w:rsidRPr="00CD3EBC" w:rsidRDefault="008218A7" w:rsidP="00A13FBE">
            <w:pPr>
              <w:rPr>
                <w:rFonts w:ascii="Times New Roman" w:hAnsi="Times New Roman"/>
                <w:sz w:val="20"/>
                <w:szCs w:val="20"/>
              </w:rPr>
            </w:pPr>
            <w:r w:rsidRPr="00CD3EBC">
              <w:rPr>
                <w:rFonts w:ascii="Times New Roman" w:hAnsi="Times New Roman"/>
                <w:sz w:val="20"/>
                <w:szCs w:val="20"/>
              </w:rPr>
              <w:t>Padding at the input</w:t>
            </w:r>
            <w:r w:rsidR="00956518" w:rsidRPr="00CD3EBC">
              <w:rPr>
                <w:rFonts w:ascii="Times New Roman" w:hAnsi="Times New Roman"/>
                <w:sz w:val="20"/>
                <w:szCs w:val="20"/>
              </w:rPr>
              <w:t xml:space="preserve"> to the maximum size</w:t>
            </w:r>
          </w:p>
        </w:tc>
      </w:tr>
      <w:tr w:rsidR="008218A7" w:rsidRPr="00CD3EBC" w14:paraId="7427AD8E" w14:textId="77777777" w:rsidTr="00A13FBE">
        <w:tc>
          <w:tcPr>
            <w:tcW w:w="4106" w:type="dxa"/>
          </w:tcPr>
          <w:p w14:paraId="454047D6" w14:textId="77777777" w:rsidR="008218A7" w:rsidRPr="00CD3EBC" w:rsidRDefault="008218A7" w:rsidP="00A13FBE">
            <w:pPr>
              <w:rPr>
                <w:rFonts w:ascii="Times New Roman" w:hAnsi="Times New Roman"/>
                <w:sz w:val="20"/>
                <w:szCs w:val="20"/>
              </w:rPr>
            </w:pPr>
            <w:r w:rsidRPr="00CD3EBC">
              <w:rPr>
                <w:rFonts w:ascii="Times New Roman" w:hAnsi="Times New Roman"/>
                <w:sz w:val="20"/>
                <w:szCs w:val="20"/>
              </w:rPr>
              <w:t>scalability over payload configurations</w:t>
            </w:r>
          </w:p>
        </w:tc>
        <w:tc>
          <w:tcPr>
            <w:tcW w:w="5525" w:type="dxa"/>
          </w:tcPr>
          <w:p w14:paraId="4E10C378" w14:textId="77777777" w:rsidR="008218A7" w:rsidRPr="00CD3EBC" w:rsidRDefault="008218A7" w:rsidP="00A13FBE">
            <w:pPr>
              <w:rPr>
                <w:rFonts w:ascii="Times New Roman" w:hAnsi="Times New Roman"/>
                <w:sz w:val="20"/>
                <w:szCs w:val="20"/>
              </w:rPr>
            </w:pPr>
            <w:r w:rsidRPr="00CD3EBC">
              <w:rPr>
                <w:rFonts w:ascii="Times New Roman" w:hAnsi="Times New Roman"/>
                <w:sz w:val="20"/>
                <w:szCs w:val="20"/>
              </w:rPr>
              <w:t>truncation/masking of the output linear layer output</w:t>
            </w:r>
          </w:p>
        </w:tc>
      </w:tr>
    </w:tbl>
    <w:p w14:paraId="29C5EA1D" w14:textId="77777777" w:rsidR="00697C81" w:rsidRDefault="00697C81" w:rsidP="00CD3EBC">
      <w:pPr>
        <w:spacing w:after="180"/>
        <w:rPr>
          <w:rFonts w:ascii="Times New Roman" w:hAnsi="Times New Roman"/>
          <w:b/>
          <w:bCs/>
          <w:sz w:val="20"/>
          <w:szCs w:val="20"/>
        </w:rPr>
      </w:pPr>
    </w:p>
    <w:p w14:paraId="56910A12" w14:textId="28EF655D" w:rsidR="00CD3EBC" w:rsidRPr="00AB5BCA" w:rsidRDefault="00CD3EBC" w:rsidP="00CD3EBC">
      <w:pPr>
        <w:spacing w:after="180"/>
        <w:rPr>
          <w:rFonts w:ascii="Times New Roman" w:hAnsi="Times New Roman"/>
          <w:b/>
          <w:bCs/>
          <w:sz w:val="20"/>
          <w:szCs w:val="20"/>
        </w:rPr>
      </w:pPr>
      <w:r w:rsidRPr="00AB5BCA">
        <w:rPr>
          <w:rFonts w:ascii="Times New Roman" w:hAnsi="Times New Roman" w:hint="eastAsia"/>
          <w:b/>
          <w:bCs/>
          <w:sz w:val="20"/>
          <w:szCs w:val="20"/>
        </w:rPr>
        <w:t>P</w:t>
      </w:r>
      <w:r w:rsidRPr="00AB5BCA">
        <w:rPr>
          <w:rFonts w:ascii="Times New Roman" w:hAnsi="Times New Roman"/>
          <w:b/>
          <w:bCs/>
          <w:sz w:val="20"/>
          <w:szCs w:val="20"/>
        </w:rPr>
        <w:t xml:space="preserve">roposal </w:t>
      </w:r>
      <w:r w:rsidR="00967D26">
        <w:rPr>
          <w:rFonts w:ascii="Times New Roman" w:hAnsi="Times New Roman"/>
          <w:b/>
          <w:bCs/>
          <w:sz w:val="20"/>
          <w:szCs w:val="20"/>
        </w:rPr>
        <w:t>4</w:t>
      </w:r>
      <w:r w:rsidRPr="00AB5BCA">
        <w:rPr>
          <w:rFonts w:ascii="Times New Roman" w:hAnsi="Times New Roman"/>
          <w:b/>
          <w:bCs/>
          <w:sz w:val="20"/>
          <w:szCs w:val="20"/>
        </w:rPr>
        <w:t>:</w:t>
      </w:r>
      <w:r>
        <w:rPr>
          <w:rFonts w:ascii="Times New Roman" w:hAnsi="Times New Roman"/>
          <w:b/>
          <w:bCs/>
          <w:sz w:val="20"/>
          <w:szCs w:val="20"/>
        </w:rPr>
        <w:t xml:space="preserve"> </w:t>
      </w:r>
      <w:r w:rsidR="00967D26">
        <w:rPr>
          <w:rFonts w:ascii="Times New Roman" w:hAnsi="Times New Roman"/>
          <w:b/>
          <w:bCs/>
          <w:sz w:val="20"/>
          <w:szCs w:val="20"/>
        </w:rPr>
        <w:t>If CNN backbone is used, t</w:t>
      </w:r>
      <w:r w:rsidRPr="00CD3EBC">
        <w:rPr>
          <w:rFonts w:ascii="Times New Roman" w:hAnsi="Times New Roman"/>
          <w:b/>
          <w:bCs/>
          <w:sz w:val="20"/>
          <w:szCs w:val="20"/>
        </w:rPr>
        <w:t>he methods for model scalability are proposed</w:t>
      </w:r>
      <w:r>
        <w:rPr>
          <w:rFonts w:ascii="Times New Roman" w:hAnsi="Times New Roman"/>
          <w:b/>
          <w:bCs/>
          <w:sz w:val="20"/>
          <w:szCs w:val="20"/>
        </w:rPr>
        <w:t xml:space="preserve"> as below table.</w:t>
      </w:r>
    </w:p>
    <w:p w14:paraId="52E6A83B" w14:textId="77777777" w:rsidR="007243A5" w:rsidRPr="007243A5" w:rsidRDefault="007243A5" w:rsidP="007243A5">
      <w:pPr>
        <w:spacing w:after="180"/>
        <w:jc w:val="center"/>
        <w:rPr>
          <w:rFonts w:ascii="Times New Roman" w:hAnsi="Times New Roman"/>
          <w:b/>
          <w:bCs/>
          <w:sz w:val="20"/>
          <w:szCs w:val="20"/>
        </w:rPr>
      </w:pPr>
      <w:r w:rsidRPr="007243A5">
        <w:rPr>
          <w:rFonts w:ascii="Times New Roman" w:hAnsi="Times New Roman"/>
          <w:b/>
          <w:bCs/>
          <w:sz w:val="20"/>
          <w:szCs w:val="20"/>
        </w:rPr>
        <w:t>Table 2. methods for model scalability of CNN backbone.</w:t>
      </w:r>
    </w:p>
    <w:tbl>
      <w:tblPr>
        <w:tblStyle w:val="TableGrid"/>
        <w:tblW w:w="0" w:type="auto"/>
        <w:tblLook w:val="04A0" w:firstRow="1" w:lastRow="0" w:firstColumn="1" w:lastColumn="0" w:noHBand="0" w:noVBand="1"/>
      </w:tblPr>
      <w:tblGrid>
        <w:gridCol w:w="4106"/>
        <w:gridCol w:w="5525"/>
      </w:tblGrid>
      <w:tr w:rsidR="007243A5" w:rsidRPr="007243A5" w14:paraId="37D371CD" w14:textId="77777777" w:rsidTr="00A13FBE">
        <w:tc>
          <w:tcPr>
            <w:tcW w:w="4106" w:type="dxa"/>
          </w:tcPr>
          <w:p w14:paraId="75D0BF90" w14:textId="77777777" w:rsidR="007243A5" w:rsidRPr="007243A5" w:rsidRDefault="007243A5" w:rsidP="00A13FBE">
            <w:pPr>
              <w:rPr>
                <w:rFonts w:ascii="Times New Roman" w:hAnsi="Times New Roman"/>
                <w:b/>
                <w:bCs/>
                <w:sz w:val="20"/>
                <w:szCs w:val="20"/>
              </w:rPr>
            </w:pPr>
            <w:r w:rsidRPr="007243A5">
              <w:rPr>
                <w:rFonts w:ascii="Times New Roman" w:hAnsi="Times New Roman"/>
                <w:b/>
                <w:bCs/>
                <w:sz w:val="20"/>
                <w:szCs w:val="20"/>
              </w:rPr>
              <w:t>scalability over the subband dimension</w:t>
            </w:r>
          </w:p>
        </w:tc>
        <w:tc>
          <w:tcPr>
            <w:tcW w:w="5525" w:type="dxa"/>
          </w:tcPr>
          <w:p w14:paraId="6451F93C" w14:textId="77777777" w:rsidR="007243A5" w:rsidRPr="007243A5" w:rsidRDefault="007243A5" w:rsidP="00A13FBE">
            <w:pPr>
              <w:rPr>
                <w:rFonts w:ascii="Times New Roman" w:hAnsi="Times New Roman"/>
                <w:b/>
                <w:bCs/>
                <w:sz w:val="20"/>
                <w:szCs w:val="20"/>
              </w:rPr>
            </w:pPr>
            <w:r w:rsidRPr="007243A5">
              <w:rPr>
                <w:rFonts w:ascii="Times New Roman" w:hAnsi="Times New Roman"/>
                <w:b/>
                <w:bCs/>
                <w:sz w:val="20"/>
                <w:szCs w:val="20"/>
              </w:rPr>
              <w:t>Padding at the input to the maximum size</w:t>
            </w:r>
          </w:p>
        </w:tc>
      </w:tr>
      <w:tr w:rsidR="007243A5" w:rsidRPr="007243A5" w14:paraId="3361775B" w14:textId="77777777" w:rsidTr="00A13FBE">
        <w:tc>
          <w:tcPr>
            <w:tcW w:w="4106" w:type="dxa"/>
          </w:tcPr>
          <w:p w14:paraId="45C19ABE" w14:textId="77777777" w:rsidR="007243A5" w:rsidRPr="007243A5" w:rsidRDefault="007243A5" w:rsidP="00A13FBE">
            <w:pPr>
              <w:rPr>
                <w:rFonts w:ascii="Times New Roman" w:hAnsi="Times New Roman"/>
                <w:b/>
                <w:bCs/>
                <w:sz w:val="20"/>
                <w:szCs w:val="20"/>
              </w:rPr>
            </w:pPr>
            <w:r w:rsidRPr="007243A5">
              <w:rPr>
                <w:rFonts w:ascii="Times New Roman" w:hAnsi="Times New Roman"/>
                <w:b/>
                <w:bCs/>
                <w:sz w:val="20"/>
                <w:szCs w:val="20"/>
              </w:rPr>
              <w:t>scalability over the port dimension</w:t>
            </w:r>
          </w:p>
        </w:tc>
        <w:tc>
          <w:tcPr>
            <w:tcW w:w="5525" w:type="dxa"/>
          </w:tcPr>
          <w:p w14:paraId="2F5A39A0" w14:textId="77777777" w:rsidR="007243A5" w:rsidRPr="007243A5" w:rsidRDefault="007243A5" w:rsidP="00A13FBE">
            <w:pPr>
              <w:rPr>
                <w:rFonts w:ascii="Times New Roman" w:hAnsi="Times New Roman"/>
                <w:b/>
                <w:bCs/>
                <w:sz w:val="20"/>
                <w:szCs w:val="20"/>
              </w:rPr>
            </w:pPr>
            <w:r w:rsidRPr="007243A5">
              <w:rPr>
                <w:rFonts w:ascii="Times New Roman" w:hAnsi="Times New Roman"/>
                <w:b/>
                <w:bCs/>
                <w:sz w:val="20"/>
                <w:szCs w:val="20"/>
              </w:rPr>
              <w:t>Padding at the input to the maximum size</w:t>
            </w:r>
          </w:p>
        </w:tc>
      </w:tr>
      <w:tr w:rsidR="007243A5" w:rsidRPr="007243A5" w14:paraId="7A9D40C5" w14:textId="77777777" w:rsidTr="00A13FBE">
        <w:tc>
          <w:tcPr>
            <w:tcW w:w="4106" w:type="dxa"/>
          </w:tcPr>
          <w:p w14:paraId="3D2CBBCB" w14:textId="77777777" w:rsidR="007243A5" w:rsidRPr="007243A5" w:rsidRDefault="007243A5" w:rsidP="00A13FBE">
            <w:pPr>
              <w:rPr>
                <w:rFonts w:ascii="Times New Roman" w:hAnsi="Times New Roman"/>
                <w:b/>
                <w:bCs/>
                <w:sz w:val="20"/>
                <w:szCs w:val="20"/>
              </w:rPr>
            </w:pPr>
            <w:r w:rsidRPr="007243A5">
              <w:rPr>
                <w:rFonts w:ascii="Times New Roman" w:hAnsi="Times New Roman"/>
                <w:b/>
                <w:bCs/>
                <w:sz w:val="20"/>
                <w:szCs w:val="20"/>
              </w:rPr>
              <w:t>scalability over payload configurations</w:t>
            </w:r>
          </w:p>
        </w:tc>
        <w:tc>
          <w:tcPr>
            <w:tcW w:w="5525" w:type="dxa"/>
          </w:tcPr>
          <w:p w14:paraId="782D3D80" w14:textId="77777777" w:rsidR="007243A5" w:rsidRPr="007243A5" w:rsidRDefault="007243A5" w:rsidP="00A13FBE">
            <w:pPr>
              <w:rPr>
                <w:rFonts w:ascii="Times New Roman" w:hAnsi="Times New Roman"/>
                <w:b/>
                <w:bCs/>
                <w:sz w:val="20"/>
                <w:szCs w:val="20"/>
              </w:rPr>
            </w:pPr>
            <w:r w:rsidRPr="007243A5">
              <w:rPr>
                <w:rFonts w:ascii="Times New Roman" w:hAnsi="Times New Roman"/>
                <w:b/>
                <w:bCs/>
                <w:sz w:val="20"/>
                <w:szCs w:val="20"/>
              </w:rPr>
              <w:t>truncation/masking of the output linear layer output</w:t>
            </w:r>
          </w:p>
        </w:tc>
      </w:tr>
    </w:tbl>
    <w:p w14:paraId="2EAC020F" w14:textId="77777777" w:rsidR="001578C0" w:rsidRDefault="001578C0" w:rsidP="00EE7796">
      <w:pPr>
        <w:spacing w:after="180"/>
        <w:rPr>
          <w:rFonts w:ascii="Times New Roman" w:hAnsi="Times New Roman"/>
          <w:sz w:val="20"/>
          <w:szCs w:val="20"/>
        </w:rPr>
      </w:pPr>
    </w:p>
    <w:p w14:paraId="7F223A51" w14:textId="0C2BAAF1" w:rsidR="008218A7" w:rsidRDefault="0045318C" w:rsidP="00EE7796">
      <w:pPr>
        <w:spacing w:after="180"/>
        <w:rPr>
          <w:rFonts w:ascii="Times New Roman" w:hAnsi="Times New Roman"/>
          <w:sz w:val="20"/>
          <w:szCs w:val="20"/>
        </w:rPr>
      </w:pPr>
      <w:r>
        <w:rPr>
          <w:rFonts w:ascii="Times New Roman" w:hAnsi="Times New Roman"/>
          <w:sz w:val="20"/>
          <w:szCs w:val="20"/>
        </w:rPr>
        <w:t xml:space="preserve">To evaluate the </w:t>
      </w:r>
      <w:r w:rsidR="00C2433E">
        <w:rPr>
          <w:rFonts w:ascii="Times New Roman" w:hAnsi="Times New Roman"/>
          <w:sz w:val="20"/>
          <w:szCs w:val="20"/>
        </w:rPr>
        <w:t xml:space="preserve">scalability </w:t>
      </w:r>
      <w:r w:rsidR="00C2433E">
        <w:rPr>
          <w:rFonts w:ascii="Times New Roman" w:hAnsi="Times New Roman" w:hint="eastAsia"/>
          <w:sz w:val="20"/>
          <w:szCs w:val="20"/>
        </w:rPr>
        <w:t>performance,</w:t>
      </w:r>
      <w:r w:rsidR="00C2433E">
        <w:rPr>
          <w:rFonts w:ascii="Times New Roman" w:hAnsi="Times New Roman"/>
          <w:sz w:val="20"/>
          <w:szCs w:val="20"/>
        </w:rPr>
        <w:t xml:space="preserve"> two </w:t>
      </w:r>
      <w:r w:rsidR="000F5588">
        <w:rPr>
          <w:rFonts w:ascii="Times New Roman" w:hAnsi="Times New Roman"/>
          <w:sz w:val="20"/>
          <w:szCs w:val="20"/>
        </w:rPr>
        <w:t>possible designs</w:t>
      </w:r>
      <w:r w:rsidR="00C2433E">
        <w:rPr>
          <w:rFonts w:ascii="Times New Roman" w:hAnsi="Times New Roman"/>
          <w:sz w:val="20"/>
          <w:szCs w:val="20"/>
        </w:rPr>
        <w:t xml:space="preserve"> are considered.</w:t>
      </w:r>
    </w:p>
    <w:p w14:paraId="22E23D5D" w14:textId="05327A45" w:rsidR="00C2433E" w:rsidRPr="00C2433E" w:rsidRDefault="000F5588" w:rsidP="00C2433E">
      <w:pPr>
        <w:pStyle w:val="ListParagraph"/>
        <w:numPr>
          <w:ilvl w:val="0"/>
          <w:numId w:val="36"/>
        </w:numPr>
        <w:ind w:firstLineChars="0"/>
      </w:pPr>
      <w:r>
        <w:rPr>
          <w:rFonts w:eastAsiaTheme="minorEastAsia"/>
          <w:lang w:eastAsia="zh-CN"/>
        </w:rPr>
        <w:t>Alt</w:t>
      </w:r>
      <w:r w:rsidR="00C2433E">
        <w:rPr>
          <w:rFonts w:eastAsiaTheme="minorEastAsia"/>
          <w:lang w:eastAsia="zh-CN"/>
        </w:rPr>
        <w:t xml:space="preserve"> 1</w:t>
      </w:r>
      <w:r>
        <w:rPr>
          <w:rFonts w:eastAsiaTheme="minorEastAsia"/>
          <w:lang w:eastAsia="zh-CN"/>
        </w:rPr>
        <w:t xml:space="preserve"> </w:t>
      </w:r>
      <w:r w:rsidR="00C2433E">
        <w:rPr>
          <w:rFonts w:eastAsiaTheme="minorEastAsia"/>
          <w:lang w:eastAsia="zh-CN"/>
        </w:rPr>
        <w:t xml:space="preserve">(scalable structure </w:t>
      </w:r>
      <w:r w:rsidR="001A6727">
        <w:rPr>
          <w:rFonts w:eastAsiaTheme="minorEastAsia"/>
          <w:lang w:eastAsia="zh-CN"/>
        </w:rPr>
        <w:t>with</w:t>
      </w:r>
      <w:r w:rsidR="00C2433E">
        <w:rPr>
          <w:rFonts w:eastAsiaTheme="minorEastAsia"/>
          <w:lang w:eastAsia="zh-CN"/>
        </w:rPr>
        <w:t xml:space="preserve"> joint training on scalable scenarios): use the scalable model structure and scalability methods, train the model with single parameter set across different {port number, payload size, subband number} data.</w:t>
      </w:r>
    </w:p>
    <w:p w14:paraId="2CECB524" w14:textId="503A7362" w:rsidR="00C2433E" w:rsidRPr="00C2433E" w:rsidRDefault="000F5588" w:rsidP="00C2433E">
      <w:pPr>
        <w:pStyle w:val="ListParagraph"/>
        <w:numPr>
          <w:ilvl w:val="0"/>
          <w:numId w:val="36"/>
        </w:numPr>
        <w:ind w:firstLineChars="0"/>
      </w:pPr>
      <w:r>
        <w:rPr>
          <w:rFonts w:eastAsiaTheme="minorEastAsia"/>
          <w:lang w:eastAsia="zh-CN"/>
        </w:rPr>
        <w:t xml:space="preserve">Alt 2 </w:t>
      </w:r>
      <w:r w:rsidR="00C2433E">
        <w:rPr>
          <w:rFonts w:eastAsiaTheme="minorEastAsia"/>
          <w:lang w:eastAsia="zh-CN"/>
        </w:rPr>
        <w:t xml:space="preserve">(dedicated model structure trained on dedicated data): train one dedicated model with the input size and output size exactly </w:t>
      </w:r>
      <w:r>
        <w:rPr>
          <w:rFonts w:eastAsiaTheme="minorEastAsia"/>
          <w:lang w:eastAsia="zh-CN"/>
        </w:rPr>
        <w:t>matches</w:t>
      </w:r>
      <w:r w:rsidR="00C2433E">
        <w:rPr>
          <w:rFonts w:eastAsiaTheme="minorEastAsia"/>
          <w:lang w:eastAsia="zh-CN"/>
        </w:rPr>
        <w:t xml:space="preserve"> the dedicated {port number, payload size, subband number} data.</w:t>
      </w:r>
    </w:p>
    <w:p w14:paraId="30F31E7B" w14:textId="710FFCC1" w:rsidR="004A7A4E" w:rsidRPr="00E7628D" w:rsidRDefault="00E7628D" w:rsidP="00EE7796">
      <w:pPr>
        <w:spacing w:after="180"/>
        <w:rPr>
          <w:rFonts w:ascii="Times New Roman" w:hAnsi="Times New Roman"/>
          <w:sz w:val="20"/>
          <w:szCs w:val="20"/>
        </w:rPr>
      </w:pPr>
      <w:r>
        <w:rPr>
          <w:rFonts w:ascii="Times New Roman" w:hAnsi="Times New Roman"/>
          <w:sz w:val="20"/>
          <w:szCs w:val="20"/>
        </w:rPr>
        <w:t>The performance losses between case 1 and case 2 are used to evaluated the scalability methods.</w:t>
      </w:r>
    </w:p>
    <w:p w14:paraId="6695CF1A" w14:textId="211A9459" w:rsidR="004A7A4E" w:rsidRPr="004657D8" w:rsidRDefault="007F7E58" w:rsidP="00EE7796">
      <w:pPr>
        <w:spacing w:after="180"/>
        <w:rPr>
          <w:rFonts w:ascii="Times New Roman" w:hAnsi="Times New Roman"/>
          <w:b/>
          <w:bCs/>
          <w:sz w:val="20"/>
          <w:szCs w:val="20"/>
        </w:rPr>
      </w:pPr>
      <w:r>
        <w:rPr>
          <w:rFonts w:ascii="Times New Roman" w:hAnsi="Times New Roman"/>
          <w:b/>
          <w:bCs/>
          <w:sz w:val="20"/>
          <w:szCs w:val="20"/>
        </w:rPr>
        <w:t>Observation</w:t>
      </w:r>
      <w:r w:rsidR="004657D8" w:rsidRPr="00AB5BCA">
        <w:rPr>
          <w:rFonts w:ascii="Times New Roman" w:hAnsi="Times New Roman"/>
          <w:b/>
          <w:bCs/>
          <w:sz w:val="20"/>
          <w:szCs w:val="20"/>
        </w:rPr>
        <w:t xml:space="preserve"> </w:t>
      </w:r>
      <w:r>
        <w:rPr>
          <w:rFonts w:ascii="Times New Roman" w:hAnsi="Times New Roman"/>
          <w:b/>
          <w:bCs/>
          <w:sz w:val="20"/>
          <w:szCs w:val="20"/>
        </w:rPr>
        <w:t>2</w:t>
      </w:r>
      <w:r w:rsidR="004657D8" w:rsidRPr="00AB5BCA">
        <w:rPr>
          <w:rFonts w:ascii="Times New Roman" w:hAnsi="Times New Roman"/>
          <w:b/>
          <w:bCs/>
          <w:sz w:val="20"/>
          <w:szCs w:val="20"/>
        </w:rPr>
        <w:t>:</w:t>
      </w:r>
      <w:r w:rsidR="004657D8">
        <w:rPr>
          <w:rFonts w:ascii="Times New Roman" w:hAnsi="Times New Roman"/>
          <w:b/>
          <w:bCs/>
          <w:sz w:val="20"/>
          <w:szCs w:val="20"/>
        </w:rPr>
        <w:t xml:space="preserve"> </w:t>
      </w:r>
      <w:r>
        <w:rPr>
          <w:rFonts w:ascii="Times New Roman" w:hAnsi="Times New Roman"/>
          <w:b/>
          <w:bCs/>
          <w:sz w:val="20"/>
          <w:szCs w:val="20"/>
        </w:rPr>
        <w:t xml:space="preserve">Both </w:t>
      </w:r>
      <w:r w:rsidR="000F5588">
        <w:rPr>
          <w:rFonts w:ascii="Times New Roman" w:hAnsi="Times New Roman"/>
          <w:b/>
          <w:bCs/>
          <w:sz w:val="20"/>
          <w:szCs w:val="20"/>
        </w:rPr>
        <w:t>Alt</w:t>
      </w:r>
      <w:r w:rsidR="004657D8">
        <w:rPr>
          <w:rFonts w:ascii="Times New Roman" w:hAnsi="Times New Roman"/>
          <w:b/>
          <w:bCs/>
          <w:sz w:val="20"/>
          <w:szCs w:val="20"/>
        </w:rPr>
        <w:t xml:space="preserve"> 1</w:t>
      </w:r>
      <w:r>
        <w:rPr>
          <w:rFonts w:ascii="Times New Roman" w:hAnsi="Times New Roman"/>
          <w:b/>
          <w:bCs/>
          <w:sz w:val="20"/>
          <w:szCs w:val="20"/>
        </w:rPr>
        <w:t xml:space="preserve"> (</w:t>
      </w:r>
      <w:r w:rsidR="004657D8">
        <w:rPr>
          <w:rFonts w:ascii="Times New Roman" w:hAnsi="Times New Roman"/>
          <w:b/>
          <w:bCs/>
          <w:sz w:val="20"/>
          <w:szCs w:val="20"/>
        </w:rPr>
        <w:t>scalable model structure with joint training on scalable scenarios</w:t>
      </w:r>
      <w:r>
        <w:rPr>
          <w:rFonts w:ascii="Times New Roman" w:hAnsi="Times New Roman"/>
          <w:b/>
          <w:bCs/>
          <w:sz w:val="20"/>
          <w:szCs w:val="20"/>
        </w:rPr>
        <w:t>)</w:t>
      </w:r>
      <w:r w:rsidR="004657D8">
        <w:rPr>
          <w:rFonts w:ascii="Times New Roman" w:hAnsi="Times New Roman"/>
          <w:b/>
          <w:bCs/>
          <w:sz w:val="20"/>
          <w:szCs w:val="20"/>
        </w:rPr>
        <w:t xml:space="preserve"> and </w:t>
      </w:r>
      <w:r w:rsidR="000F5588">
        <w:rPr>
          <w:rFonts w:ascii="Times New Roman" w:hAnsi="Times New Roman"/>
          <w:b/>
          <w:bCs/>
          <w:sz w:val="20"/>
          <w:szCs w:val="20"/>
        </w:rPr>
        <w:t>Alt</w:t>
      </w:r>
      <w:r w:rsidR="004657D8">
        <w:rPr>
          <w:rFonts w:ascii="Times New Roman" w:hAnsi="Times New Roman"/>
          <w:b/>
          <w:bCs/>
          <w:sz w:val="20"/>
          <w:szCs w:val="20"/>
        </w:rPr>
        <w:t xml:space="preserve"> 2</w:t>
      </w:r>
      <w:r w:rsidR="000F5588">
        <w:rPr>
          <w:rFonts w:ascii="Times New Roman" w:hAnsi="Times New Roman"/>
          <w:b/>
          <w:bCs/>
          <w:sz w:val="20"/>
          <w:szCs w:val="20"/>
        </w:rPr>
        <w:t xml:space="preserve"> (</w:t>
      </w:r>
      <w:r w:rsidR="004657D8">
        <w:rPr>
          <w:rFonts w:ascii="Times New Roman" w:hAnsi="Times New Roman"/>
          <w:b/>
          <w:bCs/>
          <w:sz w:val="20"/>
          <w:szCs w:val="20"/>
        </w:rPr>
        <w:t>dedicated model structure trained on dedicated data</w:t>
      </w:r>
      <w:r w:rsidR="000F5588">
        <w:rPr>
          <w:rFonts w:ascii="Times New Roman" w:hAnsi="Times New Roman"/>
          <w:b/>
          <w:bCs/>
          <w:sz w:val="20"/>
          <w:szCs w:val="20"/>
        </w:rPr>
        <w:t>)</w:t>
      </w:r>
      <w:r w:rsidR="004657D8">
        <w:rPr>
          <w:rFonts w:ascii="Times New Roman" w:hAnsi="Times New Roman"/>
          <w:b/>
          <w:bCs/>
          <w:sz w:val="20"/>
          <w:szCs w:val="20"/>
        </w:rPr>
        <w:t>, are</w:t>
      </w:r>
      <w:r w:rsidR="000F5588">
        <w:rPr>
          <w:rFonts w:ascii="Times New Roman" w:hAnsi="Times New Roman"/>
          <w:b/>
          <w:bCs/>
          <w:sz w:val="20"/>
          <w:szCs w:val="20"/>
        </w:rPr>
        <w:t xml:space="preserve"> possible designs for scalability evaluation</w:t>
      </w:r>
      <w:r w:rsidR="004657D8">
        <w:rPr>
          <w:rFonts w:ascii="Times New Roman" w:hAnsi="Times New Roman"/>
          <w:b/>
          <w:bCs/>
          <w:sz w:val="20"/>
          <w:szCs w:val="20"/>
        </w:rPr>
        <w:t>.</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6762F1F" w:rsidR="00BA45F7" w:rsidRPr="00DD011B" w:rsidRDefault="009269B8" w:rsidP="009410D5">
      <w:pPr>
        <w:spacing w:after="180"/>
        <w:rPr>
          <w:rFonts w:ascii="Times New Roman" w:hAnsi="Times New Roman"/>
          <w:sz w:val="20"/>
          <w:szCs w:val="20"/>
        </w:rPr>
      </w:pPr>
      <w:r w:rsidRPr="00DD011B">
        <w:rPr>
          <w:rFonts w:ascii="Times New Roman" w:hAnsi="Times New Roman"/>
          <w:sz w:val="20"/>
          <w:szCs w:val="20"/>
        </w:rPr>
        <w:t>In this contribution, we</w:t>
      </w:r>
      <w:r w:rsidR="00CE4029" w:rsidRPr="00DD011B">
        <w:rPr>
          <w:rFonts w:ascii="Times New Roman" w:hAnsi="Times New Roman"/>
          <w:sz w:val="20"/>
          <w:szCs w:val="20"/>
        </w:rPr>
        <w:t xml:space="preserve"> provided our viewpoints on </w:t>
      </w:r>
      <w:r w:rsidR="00487D36" w:rsidRPr="00DD011B">
        <w:rPr>
          <w:rFonts w:ascii="Times New Roman" w:hAnsi="Times New Roman"/>
          <w:sz w:val="20"/>
          <w:szCs w:val="20"/>
        </w:rPr>
        <w:t xml:space="preserve">the </w:t>
      </w:r>
      <w:r w:rsidR="00DD011B">
        <w:rPr>
          <w:rFonts w:ascii="Times New Roman" w:hAnsi="Times New Roman"/>
          <w:sz w:val="20"/>
          <w:szCs w:val="20"/>
        </w:rPr>
        <w:t>model structure scalability</w:t>
      </w:r>
      <w:r w:rsidRPr="00DD011B">
        <w:rPr>
          <w:rFonts w:ascii="Times New Roman" w:hAnsi="Times New Roman"/>
          <w:sz w:val="20"/>
          <w:szCs w:val="20"/>
        </w:rPr>
        <w:t>, accordingly the following observations and proposals are obtained:</w:t>
      </w:r>
    </w:p>
    <w:p w14:paraId="6820694A" w14:textId="77777777" w:rsidR="007F7E58" w:rsidRDefault="007F7E58" w:rsidP="007F7E58">
      <w:pPr>
        <w:spacing w:after="180"/>
        <w:rPr>
          <w:rFonts w:ascii="Times New Roman" w:hAnsi="Times New Roman"/>
          <w:b/>
          <w:bCs/>
          <w:sz w:val="20"/>
          <w:szCs w:val="20"/>
        </w:rPr>
      </w:pPr>
      <w:r w:rsidRPr="0049144C">
        <w:rPr>
          <w:rFonts w:ascii="Times New Roman" w:hAnsi="Times New Roman"/>
          <w:b/>
          <w:bCs/>
          <w:sz w:val="20"/>
          <w:szCs w:val="20"/>
        </w:rPr>
        <w:t xml:space="preserve">Observation </w:t>
      </w:r>
      <w:r>
        <w:rPr>
          <w:rFonts w:ascii="Times New Roman" w:hAnsi="Times New Roman"/>
          <w:b/>
          <w:bCs/>
          <w:sz w:val="20"/>
          <w:szCs w:val="20"/>
        </w:rPr>
        <w:t>1</w:t>
      </w:r>
      <w:r w:rsidRPr="0049144C">
        <w:rPr>
          <w:rFonts w:ascii="Times New Roman" w:hAnsi="Times New Roman"/>
          <w:b/>
          <w:bCs/>
          <w:sz w:val="20"/>
          <w:szCs w:val="20"/>
        </w:rPr>
        <w:t xml:space="preserve">: </w:t>
      </w:r>
      <w:r>
        <w:rPr>
          <w:rFonts w:ascii="Times New Roman" w:hAnsi="Times New Roman"/>
          <w:b/>
          <w:bCs/>
          <w:sz w:val="20"/>
          <w:szCs w:val="20"/>
        </w:rPr>
        <w:t>Three scalability aspects, the number of Tx ports, CSI feedback payload size and subband number are considered variable to verify the model scalability in RAN1.</w:t>
      </w:r>
    </w:p>
    <w:p w14:paraId="0A2F60D1" w14:textId="77777777" w:rsidR="007F7E58" w:rsidRDefault="007F7E58" w:rsidP="007F7E58">
      <w:pPr>
        <w:spacing w:after="180"/>
        <w:rPr>
          <w:rFonts w:ascii="Times New Roman" w:hAnsi="Times New Roman" w:cs="Times New Roman"/>
          <w:b/>
          <w:bCs/>
          <w:sz w:val="20"/>
          <w:szCs w:val="20"/>
        </w:rPr>
      </w:pPr>
      <w:r w:rsidRPr="0067062F">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67062F">
        <w:rPr>
          <w:rFonts w:ascii="Times New Roman" w:hAnsi="Times New Roman" w:cs="Times New Roman"/>
          <w:b/>
          <w:bCs/>
          <w:sz w:val="20"/>
          <w:szCs w:val="20"/>
        </w:rPr>
        <w:t xml:space="preserve">: RAN4 should determine a set of combinations </w:t>
      </w:r>
      <w:r>
        <w:rPr>
          <w:rFonts w:ascii="Times New Roman" w:hAnsi="Times New Roman" w:cs="Times New Roman"/>
          <w:b/>
          <w:bCs/>
          <w:sz w:val="20"/>
          <w:szCs w:val="20"/>
        </w:rPr>
        <w:t>with typical values of</w:t>
      </w:r>
      <w:r w:rsidRPr="0067062F">
        <w:rPr>
          <w:rFonts w:ascii="Times New Roman" w:hAnsi="Times New Roman" w:cs="Times New Roman"/>
          <w:b/>
          <w:bCs/>
          <w:sz w:val="20"/>
          <w:szCs w:val="20"/>
        </w:rPr>
        <w:t xml:space="preserve"> Tx port number and antenna layout, CSI feedback payload size and subband number to align the scalability solutions.</w:t>
      </w:r>
    </w:p>
    <w:p w14:paraId="2CDF1F95" w14:textId="77777777" w:rsidR="00326624" w:rsidRPr="00AB5BCA" w:rsidRDefault="00326624" w:rsidP="00326624">
      <w:pPr>
        <w:spacing w:after="180"/>
        <w:rPr>
          <w:rFonts w:ascii="Times New Roman" w:hAnsi="Times New Roman"/>
          <w:b/>
          <w:bCs/>
          <w:sz w:val="20"/>
          <w:szCs w:val="20"/>
        </w:rPr>
      </w:pPr>
      <w:r w:rsidRPr="00AB5BCA">
        <w:rPr>
          <w:rFonts w:ascii="Times New Roman" w:hAnsi="Times New Roman" w:hint="eastAsia"/>
          <w:b/>
          <w:bCs/>
          <w:sz w:val="20"/>
          <w:szCs w:val="20"/>
        </w:rPr>
        <w:t>P</w:t>
      </w:r>
      <w:r w:rsidRPr="00AB5BCA">
        <w:rPr>
          <w:rFonts w:ascii="Times New Roman" w:hAnsi="Times New Roman"/>
          <w:b/>
          <w:bCs/>
          <w:sz w:val="20"/>
          <w:szCs w:val="20"/>
        </w:rPr>
        <w:t>roposal 2:</w:t>
      </w:r>
      <w:r>
        <w:rPr>
          <w:rFonts w:ascii="Times New Roman" w:hAnsi="Times New Roman"/>
          <w:b/>
          <w:bCs/>
          <w:sz w:val="20"/>
          <w:szCs w:val="20"/>
        </w:rPr>
        <w:t xml:space="preserve"> following model scalability methods could be the starting point for aligning the scalable models in RAN4.</w:t>
      </w:r>
    </w:p>
    <w:p w14:paraId="06CB61E9" w14:textId="77777777" w:rsidR="00326624" w:rsidRPr="006D34C5" w:rsidRDefault="00326624" w:rsidP="00326624">
      <w:pPr>
        <w:spacing w:after="180"/>
        <w:jc w:val="center"/>
        <w:rPr>
          <w:rFonts w:ascii="Times New Roman" w:hAnsi="Times New Roman"/>
          <w:b/>
          <w:bCs/>
          <w:sz w:val="20"/>
          <w:szCs w:val="20"/>
        </w:rPr>
      </w:pPr>
      <w:r w:rsidRPr="006D34C5">
        <w:rPr>
          <w:rFonts w:ascii="Times New Roman" w:hAnsi="Times New Roman"/>
          <w:b/>
          <w:bCs/>
          <w:sz w:val="20"/>
          <w:szCs w:val="20"/>
        </w:rPr>
        <w:t xml:space="preserve">Table </w:t>
      </w:r>
      <w:r>
        <w:rPr>
          <w:rFonts w:ascii="Times New Roman" w:hAnsi="Times New Roman"/>
          <w:b/>
          <w:bCs/>
          <w:sz w:val="20"/>
          <w:szCs w:val="20"/>
        </w:rPr>
        <w:t>1</w:t>
      </w:r>
      <w:r w:rsidRPr="006D34C5">
        <w:rPr>
          <w:rFonts w:ascii="Times New Roman" w:hAnsi="Times New Roman"/>
          <w:b/>
          <w:bCs/>
          <w:sz w:val="20"/>
          <w:szCs w:val="20"/>
        </w:rPr>
        <w:t xml:space="preserve">. </w:t>
      </w:r>
      <w:r>
        <w:rPr>
          <w:rFonts w:ascii="Times New Roman" w:hAnsi="Times New Roman"/>
          <w:b/>
          <w:bCs/>
          <w:sz w:val="20"/>
          <w:szCs w:val="20"/>
        </w:rPr>
        <w:t>basic methods for model scalability of Transformer backbone</w:t>
      </w:r>
      <w:r w:rsidRPr="006D34C5">
        <w:rPr>
          <w:rFonts w:ascii="Times New Roman" w:hAnsi="Times New Roman"/>
          <w:b/>
          <w:bCs/>
          <w:sz w:val="20"/>
          <w:szCs w:val="20"/>
        </w:rPr>
        <w:t>.</w:t>
      </w:r>
    </w:p>
    <w:tbl>
      <w:tblPr>
        <w:tblStyle w:val="TableGrid"/>
        <w:tblW w:w="0" w:type="auto"/>
        <w:tblLook w:val="04A0" w:firstRow="1" w:lastRow="0" w:firstColumn="1" w:lastColumn="0" w:noHBand="0" w:noVBand="1"/>
      </w:tblPr>
      <w:tblGrid>
        <w:gridCol w:w="4106"/>
        <w:gridCol w:w="5525"/>
      </w:tblGrid>
      <w:tr w:rsidR="00326624" w:rsidRPr="007213B5" w14:paraId="0DE537B1" w14:textId="77777777" w:rsidTr="00A13FBE">
        <w:tc>
          <w:tcPr>
            <w:tcW w:w="4106" w:type="dxa"/>
          </w:tcPr>
          <w:p w14:paraId="4377E5C3" w14:textId="77777777" w:rsidR="00326624" w:rsidRPr="007213B5" w:rsidRDefault="00326624" w:rsidP="00A13FBE">
            <w:pPr>
              <w:rPr>
                <w:rFonts w:ascii="Times New Roman" w:hAnsi="Times New Roman"/>
                <w:b/>
                <w:bCs/>
                <w:sz w:val="20"/>
                <w:szCs w:val="20"/>
              </w:rPr>
            </w:pPr>
            <w:r w:rsidRPr="007213B5">
              <w:rPr>
                <w:rFonts w:ascii="Times New Roman" w:hAnsi="Times New Roman"/>
                <w:b/>
                <w:bCs/>
                <w:sz w:val="20"/>
                <w:szCs w:val="20"/>
              </w:rPr>
              <w:t>choice of token dimension and feature dimension</w:t>
            </w:r>
          </w:p>
        </w:tc>
        <w:tc>
          <w:tcPr>
            <w:tcW w:w="5525" w:type="dxa"/>
          </w:tcPr>
          <w:p w14:paraId="69B63391" w14:textId="77777777" w:rsidR="00326624" w:rsidRPr="007213B5" w:rsidRDefault="00326624" w:rsidP="00A13FBE">
            <w:pPr>
              <w:rPr>
                <w:rFonts w:ascii="Times New Roman" w:hAnsi="Times New Roman"/>
                <w:b/>
                <w:bCs/>
                <w:sz w:val="20"/>
                <w:szCs w:val="20"/>
              </w:rPr>
            </w:pPr>
            <w:r w:rsidRPr="007213B5">
              <w:rPr>
                <w:rFonts w:ascii="Times New Roman" w:hAnsi="Times New Roman"/>
                <w:b/>
                <w:bCs/>
                <w:sz w:val="20"/>
                <w:szCs w:val="20"/>
              </w:rPr>
              <w:t>Use subband as the token dimension and Tx port as a feature dimension</w:t>
            </w:r>
          </w:p>
        </w:tc>
      </w:tr>
      <w:tr w:rsidR="00326624" w:rsidRPr="007213B5" w14:paraId="4F07B16B" w14:textId="77777777" w:rsidTr="00A13FBE">
        <w:tc>
          <w:tcPr>
            <w:tcW w:w="4106" w:type="dxa"/>
          </w:tcPr>
          <w:p w14:paraId="2D963800" w14:textId="77777777" w:rsidR="00326624" w:rsidRPr="007213B5" w:rsidRDefault="00326624" w:rsidP="00A13FBE">
            <w:pPr>
              <w:rPr>
                <w:rFonts w:ascii="Times New Roman" w:hAnsi="Times New Roman"/>
                <w:b/>
                <w:bCs/>
                <w:sz w:val="20"/>
                <w:szCs w:val="20"/>
              </w:rPr>
            </w:pPr>
            <w:r w:rsidRPr="007213B5">
              <w:rPr>
                <w:rFonts w:ascii="Times New Roman" w:hAnsi="Times New Roman"/>
                <w:b/>
                <w:bCs/>
                <w:sz w:val="20"/>
                <w:szCs w:val="20"/>
              </w:rPr>
              <w:t>scalability over the feature dimension</w:t>
            </w:r>
          </w:p>
        </w:tc>
        <w:tc>
          <w:tcPr>
            <w:tcW w:w="5525" w:type="dxa"/>
          </w:tcPr>
          <w:p w14:paraId="76EF2267" w14:textId="77777777" w:rsidR="00326624" w:rsidRPr="007213B5" w:rsidRDefault="00326624" w:rsidP="00A13FBE">
            <w:pPr>
              <w:rPr>
                <w:rFonts w:ascii="Times New Roman" w:hAnsi="Times New Roman"/>
                <w:b/>
                <w:bCs/>
                <w:sz w:val="20"/>
                <w:szCs w:val="20"/>
              </w:rPr>
            </w:pPr>
            <w:r w:rsidRPr="007213B5">
              <w:rPr>
                <w:rFonts w:ascii="Times New Roman" w:hAnsi="Times New Roman"/>
                <w:b/>
                <w:bCs/>
                <w:sz w:val="20"/>
                <w:szCs w:val="20"/>
              </w:rPr>
              <w:t>a common embedding layer with padding (e.g., zero-padding or other techniques for padding values)</w:t>
            </w:r>
          </w:p>
        </w:tc>
      </w:tr>
      <w:tr w:rsidR="00326624" w:rsidRPr="007213B5" w14:paraId="6F9C325C" w14:textId="77777777" w:rsidTr="00A13FBE">
        <w:tc>
          <w:tcPr>
            <w:tcW w:w="4106" w:type="dxa"/>
          </w:tcPr>
          <w:p w14:paraId="752E3434" w14:textId="77777777" w:rsidR="00326624" w:rsidRPr="007213B5" w:rsidRDefault="00326624" w:rsidP="00A13FBE">
            <w:pPr>
              <w:rPr>
                <w:rFonts w:ascii="Times New Roman" w:hAnsi="Times New Roman"/>
                <w:b/>
                <w:bCs/>
                <w:sz w:val="20"/>
                <w:szCs w:val="20"/>
              </w:rPr>
            </w:pPr>
            <w:r w:rsidRPr="007213B5">
              <w:rPr>
                <w:rFonts w:ascii="Times New Roman" w:hAnsi="Times New Roman"/>
                <w:b/>
                <w:bCs/>
                <w:sz w:val="20"/>
                <w:szCs w:val="20"/>
              </w:rPr>
              <w:t>scalability over the token dimension</w:t>
            </w:r>
          </w:p>
        </w:tc>
        <w:tc>
          <w:tcPr>
            <w:tcW w:w="5525" w:type="dxa"/>
          </w:tcPr>
          <w:p w14:paraId="0895A308" w14:textId="77777777" w:rsidR="00326624" w:rsidRPr="007213B5" w:rsidRDefault="00326624" w:rsidP="00A13FBE">
            <w:pPr>
              <w:rPr>
                <w:rFonts w:ascii="Times New Roman" w:hAnsi="Times New Roman"/>
                <w:b/>
                <w:bCs/>
                <w:sz w:val="20"/>
                <w:szCs w:val="20"/>
              </w:rPr>
            </w:pPr>
            <w:r w:rsidRPr="007213B5">
              <w:rPr>
                <w:rFonts w:ascii="Times New Roman" w:hAnsi="Times New Roman"/>
                <w:b/>
                <w:bCs/>
                <w:sz w:val="20"/>
                <w:szCs w:val="20"/>
              </w:rPr>
              <w:t>Padding at the input</w:t>
            </w:r>
          </w:p>
        </w:tc>
      </w:tr>
      <w:tr w:rsidR="00326624" w:rsidRPr="007213B5" w14:paraId="6671D707" w14:textId="77777777" w:rsidTr="00A13FBE">
        <w:tc>
          <w:tcPr>
            <w:tcW w:w="4106" w:type="dxa"/>
          </w:tcPr>
          <w:p w14:paraId="5644E610" w14:textId="77777777" w:rsidR="00326624" w:rsidRPr="007213B5" w:rsidRDefault="00326624" w:rsidP="00A13FBE">
            <w:pPr>
              <w:rPr>
                <w:rFonts w:ascii="Times New Roman" w:hAnsi="Times New Roman"/>
                <w:b/>
                <w:bCs/>
                <w:sz w:val="20"/>
                <w:szCs w:val="20"/>
              </w:rPr>
            </w:pPr>
            <w:r w:rsidRPr="007213B5">
              <w:rPr>
                <w:rFonts w:ascii="Times New Roman" w:hAnsi="Times New Roman"/>
                <w:b/>
                <w:bCs/>
                <w:sz w:val="20"/>
                <w:szCs w:val="20"/>
              </w:rPr>
              <w:t>scalability over payload configurations</w:t>
            </w:r>
          </w:p>
        </w:tc>
        <w:tc>
          <w:tcPr>
            <w:tcW w:w="5525" w:type="dxa"/>
          </w:tcPr>
          <w:p w14:paraId="2C3ACA5B" w14:textId="77777777" w:rsidR="00326624" w:rsidRPr="007213B5" w:rsidRDefault="00326624" w:rsidP="00A13FBE">
            <w:pPr>
              <w:rPr>
                <w:rFonts w:ascii="Times New Roman" w:hAnsi="Times New Roman"/>
                <w:b/>
                <w:bCs/>
                <w:sz w:val="20"/>
                <w:szCs w:val="20"/>
              </w:rPr>
            </w:pPr>
            <w:r w:rsidRPr="007213B5">
              <w:rPr>
                <w:rFonts w:ascii="Times New Roman" w:hAnsi="Times New Roman"/>
                <w:b/>
                <w:bCs/>
                <w:sz w:val="20"/>
                <w:szCs w:val="20"/>
              </w:rPr>
              <w:t>truncation/masking of the output linear layer output</w:t>
            </w:r>
          </w:p>
        </w:tc>
      </w:tr>
    </w:tbl>
    <w:p w14:paraId="216E03D3" w14:textId="77777777" w:rsidR="000F5588" w:rsidRDefault="000F5588" w:rsidP="00326624">
      <w:pPr>
        <w:spacing w:after="180"/>
        <w:rPr>
          <w:rFonts w:ascii="Times New Roman" w:hAnsi="Times New Roman"/>
          <w:b/>
          <w:bCs/>
          <w:sz w:val="20"/>
          <w:szCs w:val="20"/>
        </w:rPr>
      </w:pPr>
    </w:p>
    <w:p w14:paraId="662295DC" w14:textId="182A14D6" w:rsidR="00326624" w:rsidRPr="00AB5BCA" w:rsidRDefault="00326624" w:rsidP="00326624">
      <w:pPr>
        <w:spacing w:after="180"/>
        <w:rPr>
          <w:rFonts w:ascii="Times New Roman" w:hAnsi="Times New Roman"/>
          <w:b/>
          <w:bCs/>
          <w:sz w:val="20"/>
          <w:szCs w:val="20"/>
        </w:rPr>
      </w:pPr>
      <w:r w:rsidRPr="00AB5BCA">
        <w:rPr>
          <w:rFonts w:ascii="Times New Roman" w:hAnsi="Times New Roman" w:hint="eastAsia"/>
          <w:b/>
          <w:bCs/>
          <w:sz w:val="20"/>
          <w:szCs w:val="20"/>
        </w:rPr>
        <w:t>P</w:t>
      </w:r>
      <w:r w:rsidRPr="00AB5BCA">
        <w:rPr>
          <w:rFonts w:ascii="Times New Roman" w:hAnsi="Times New Roman"/>
          <w:b/>
          <w:bCs/>
          <w:sz w:val="20"/>
          <w:szCs w:val="20"/>
        </w:rPr>
        <w:t xml:space="preserve">roposal </w:t>
      </w:r>
      <w:r>
        <w:rPr>
          <w:rFonts w:ascii="Times New Roman" w:hAnsi="Times New Roman"/>
          <w:b/>
          <w:bCs/>
          <w:sz w:val="20"/>
          <w:szCs w:val="20"/>
        </w:rPr>
        <w:t>3</w:t>
      </w:r>
      <w:r w:rsidRPr="00AB5BCA">
        <w:rPr>
          <w:rFonts w:ascii="Times New Roman" w:hAnsi="Times New Roman"/>
          <w:b/>
          <w:bCs/>
          <w:sz w:val="20"/>
          <w:szCs w:val="20"/>
        </w:rPr>
        <w:t>:</w:t>
      </w:r>
      <w:r>
        <w:rPr>
          <w:rFonts w:ascii="Times New Roman" w:hAnsi="Times New Roman"/>
          <w:b/>
          <w:bCs/>
          <w:sz w:val="20"/>
          <w:szCs w:val="20"/>
        </w:rPr>
        <w:t xml:space="preserve"> One mixed dataset should be generated that contains the typical values on the three scalable dimensions.</w:t>
      </w:r>
    </w:p>
    <w:p w14:paraId="1D2983BD" w14:textId="77777777" w:rsidR="007F7E58" w:rsidRPr="00AB5BCA" w:rsidRDefault="007F7E58" w:rsidP="007F7E58">
      <w:pPr>
        <w:spacing w:after="180"/>
        <w:rPr>
          <w:rFonts w:ascii="Times New Roman" w:hAnsi="Times New Roman"/>
          <w:b/>
          <w:bCs/>
          <w:sz w:val="20"/>
          <w:szCs w:val="20"/>
        </w:rPr>
      </w:pPr>
      <w:r w:rsidRPr="00AB5BCA">
        <w:rPr>
          <w:rFonts w:ascii="Times New Roman" w:hAnsi="Times New Roman" w:hint="eastAsia"/>
          <w:b/>
          <w:bCs/>
          <w:sz w:val="20"/>
          <w:szCs w:val="20"/>
        </w:rPr>
        <w:lastRenderedPageBreak/>
        <w:t>P</w:t>
      </w:r>
      <w:r w:rsidRPr="00AB5BCA">
        <w:rPr>
          <w:rFonts w:ascii="Times New Roman" w:hAnsi="Times New Roman"/>
          <w:b/>
          <w:bCs/>
          <w:sz w:val="20"/>
          <w:szCs w:val="20"/>
        </w:rPr>
        <w:t xml:space="preserve">roposal </w:t>
      </w:r>
      <w:r>
        <w:rPr>
          <w:rFonts w:ascii="Times New Roman" w:hAnsi="Times New Roman"/>
          <w:b/>
          <w:bCs/>
          <w:sz w:val="20"/>
          <w:szCs w:val="20"/>
        </w:rPr>
        <w:t>4</w:t>
      </w:r>
      <w:r w:rsidRPr="00AB5BCA">
        <w:rPr>
          <w:rFonts w:ascii="Times New Roman" w:hAnsi="Times New Roman"/>
          <w:b/>
          <w:bCs/>
          <w:sz w:val="20"/>
          <w:szCs w:val="20"/>
        </w:rPr>
        <w:t>:</w:t>
      </w:r>
      <w:r>
        <w:rPr>
          <w:rFonts w:ascii="Times New Roman" w:hAnsi="Times New Roman"/>
          <w:b/>
          <w:bCs/>
          <w:sz w:val="20"/>
          <w:szCs w:val="20"/>
        </w:rPr>
        <w:t xml:space="preserve"> If CNN backbone is used, t</w:t>
      </w:r>
      <w:r w:rsidRPr="00CD3EBC">
        <w:rPr>
          <w:rFonts w:ascii="Times New Roman" w:hAnsi="Times New Roman"/>
          <w:b/>
          <w:bCs/>
          <w:sz w:val="20"/>
          <w:szCs w:val="20"/>
        </w:rPr>
        <w:t>he methods for model scalability are proposed</w:t>
      </w:r>
      <w:r>
        <w:rPr>
          <w:rFonts w:ascii="Times New Roman" w:hAnsi="Times New Roman"/>
          <w:b/>
          <w:bCs/>
          <w:sz w:val="20"/>
          <w:szCs w:val="20"/>
        </w:rPr>
        <w:t xml:space="preserve"> as below table.</w:t>
      </w:r>
    </w:p>
    <w:p w14:paraId="62653F2C" w14:textId="77777777" w:rsidR="00326624" w:rsidRPr="007243A5" w:rsidRDefault="00326624" w:rsidP="00326624">
      <w:pPr>
        <w:spacing w:after="180"/>
        <w:jc w:val="center"/>
        <w:rPr>
          <w:rFonts w:ascii="Times New Roman" w:hAnsi="Times New Roman"/>
          <w:b/>
          <w:bCs/>
          <w:sz w:val="20"/>
          <w:szCs w:val="20"/>
        </w:rPr>
      </w:pPr>
      <w:r w:rsidRPr="007243A5">
        <w:rPr>
          <w:rFonts w:ascii="Times New Roman" w:hAnsi="Times New Roman"/>
          <w:b/>
          <w:bCs/>
          <w:sz w:val="20"/>
          <w:szCs w:val="20"/>
        </w:rPr>
        <w:t>Table 2. methods for model scalability of CNN backbone.</w:t>
      </w:r>
    </w:p>
    <w:tbl>
      <w:tblPr>
        <w:tblStyle w:val="TableGrid"/>
        <w:tblW w:w="0" w:type="auto"/>
        <w:tblLook w:val="04A0" w:firstRow="1" w:lastRow="0" w:firstColumn="1" w:lastColumn="0" w:noHBand="0" w:noVBand="1"/>
      </w:tblPr>
      <w:tblGrid>
        <w:gridCol w:w="4106"/>
        <w:gridCol w:w="5525"/>
      </w:tblGrid>
      <w:tr w:rsidR="00326624" w:rsidRPr="007243A5" w14:paraId="4EB830F5" w14:textId="77777777" w:rsidTr="00A13FBE">
        <w:tc>
          <w:tcPr>
            <w:tcW w:w="4106" w:type="dxa"/>
          </w:tcPr>
          <w:p w14:paraId="61356B26" w14:textId="77777777" w:rsidR="00326624" w:rsidRPr="007243A5" w:rsidRDefault="00326624" w:rsidP="00A13FBE">
            <w:pPr>
              <w:rPr>
                <w:rFonts w:ascii="Times New Roman" w:hAnsi="Times New Roman"/>
                <w:b/>
                <w:bCs/>
                <w:sz w:val="20"/>
                <w:szCs w:val="20"/>
              </w:rPr>
            </w:pPr>
            <w:r w:rsidRPr="007243A5">
              <w:rPr>
                <w:rFonts w:ascii="Times New Roman" w:hAnsi="Times New Roman"/>
                <w:b/>
                <w:bCs/>
                <w:sz w:val="20"/>
                <w:szCs w:val="20"/>
              </w:rPr>
              <w:t>scalability over the subband dimension</w:t>
            </w:r>
          </w:p>
        </w:tc>
        <w:tc>
          <w:tcPr>
            <w:tcW w:w="5525" w:type="dxa"/>
          </w:tcPr>
          <w:p w14:paraId="595C8DC9" w14:textId="77777777" w:rsidR="00326624" w:rsidRPr="007243A5" w:rsidRDefault="00326624" w:rsidP="00A13FBE">
            <w:pPr>
              <w:rPr>
                <w:rFonts w:ascii="Times New Roman" w:hAnsi="Times New Roman"/>
                <w:b/>
                <w:bCs/>
                <w:sz w:val="20"/>
                <w:szCs w:val="20"/>
              </w:rPr>
            </w:pPr>
            <w:r w:rsidRPr="007243A5">
              <w:rPr>
                <w:rFonts w:ascii="Times New Roman" w:hAnsi="Times New Roman"/>
                <w:b/>
                <w:bCs/>
                <w:sz w:val="20"/>
                <w:szCs w:val="20"/>
              </w:rPr>
              <w:t>Padding at the input to the maximum size</w:t>
            </w:r>
          </w:p>
        </w:tc>
      </w:tr>
      <w:tr w:rsidR="00326624" w:rsidRPr="007243A5" w14:paraId="077A5278" w14:textId="77777777" w:rsidTr="00A13FBE">
        <w:tc>
          <w:tcPr>
            <w:tcW w:w="4106" w:type="dxa"/>
          </w:tcPr>
          <w:p w14:paraId="0B3B1826" w14:textId="77777777" w:rsidR="00326624" w:rsidRPr="007243A5" w:rsidRDefault="00326624" w:rsidP="00A13FBE">
            <w:pPr>
              <w:rPr>
                <w:rFonts w:ascii="Times New Roman" w:hAnsi="Times New Roman"/>
                <w:b/>
                <w:bCs/>
                <w:sz w:val="20"/>
                <w:szCs w:val="20"/>
              </w:rPr>
            </w:pPr>
            <w:r w:rsidRPr="007243A5">
              <w:rPr>
                <w:rFonts w:ascii="Times New Roman" w:hAnsi="Times New Roman"/>
                <w:b/>
                <w:bCs/>
                <w:sz w:val="20"/>
                <w:szCs w:val="20"/>
              </w:rPr>
              <w:t>scalability over the port dimension</w:t>
            </w:r>
          </w:p>
        </w:tc>
        <w:tc>
          <w:tcPr>
            <w:tcW w:w="5525" w:type="dxa"/>
          </w:tcPr>
          <w:p w14:paraId="751A27EB" w14:textId="77777777" w:rsidR="00326624" w:rsidRPr="007243A5" w:rsidRDefault="00326624" w:rsidP="00A13FBE">
            <w:pPr>
              <w:rPr>
                <w:rFonts w:ascii="Times New Roman" w:hAnsi="Times New Roman"/>
                <w:b/>
                <w:bCs/>
                <w:sz w:val="20"/>
                <w:szCs w:val="20"/>
              </w:rPr>
            </w:pPr>
            <w:r w:rsidRPr="007243A5">
              <w:rPr>
                <w:rFonts w:ascii="Times New Roman" w:hAnsi="Times New Roman"/>
                <w:b/>
                <w:bCs/>
                <w:sz w:val="20"/>
                <w:szCs w:val="20"/>
              </w:rPr>
              <w:t>Padding at the input to the maximum size</w:t>
            </w:r>
          </w:p>
        </w:tc>
      </w:tr>
      <w:tr w:rsidR="00326624" w:rsidRPr="007243A5" w14:paraId="76A5A506" w14:textId="77777777" w:rsidTr="00A13FBE">
        <w:tc>
          <w:tcPr>
            <w:tcW w:w="4106" w:type="dxa"/>
          </w:tcPr>
          <w:p w14:paraId="7ABA6EE0" w14:textId="77777777" w:rsidR="00326624" w:rsidRPr="007243A5" w:rsidRDefault="00326624" w:rsidP="00A13FBE">
            <w:pPr>
              <w:rPr>
                <w:rFonts w:ascii="Times New Roman" w:hAnsi="Times New Roman"/>
                <w:b/>
                <w:bCs/>
                <w:sz w:val="20"/>
                <w:szCs w:val="20"/>
              </w:rPr>
            </w:pPr>
            <w:r w:rsidRPr="007243A5">
              <w:rPr>
                <w:rFonts w:ascii="Times New Roman" w:hAnsi="Times New Roman"/>
                <w:b/>
                <w:bCs/>
                <w:sz w:val="20"/>
                <w:szCs w:val="20"/>
              </w:rPr>
              <w:t>scalability over payload configurations</w:t>
            </w:r>
          </w:p>
        </w:tc>
        <w:tc>
          <w:tcPr>
            <w:tcW w:w="5525" w:type="dxa"/>
          </w:tcPr>
          <w:p w14:paraId="5D3C8ACC" w14:textId="77777777" w:rsidR="00326624" w:rsidRPr="007243A5" w:rsidRDefault="00326624" w:rsidP="00A13FBE">
            <w:pPr>
              <w:rPr>
                <w:rFonts w:ascii="Times New Roman" w:hAnsi="Times New Roman"/>
                <w:b/>
                <w:bCs/>
                <w:sz w:val="20"/>
                <w:szCs w:val="20"/>
              </w:rPr>
            </w:pPr>
            <w:r w:rsidRPr="007243A5">
              <w:rPr>
                <w:rFonts w:ascii="Times New Roman" w:hAnsi="Times New Roman"/>
                <w:b/>
                <w:bCs/>
                <w:sz w:val="20"/>
                <w:szCs w:val="20"/>
              </w:rPr>
              <w:t>truncation/masking of the output linear layer output</w:t>
            </w:r>
          </w:p>
        </w:tc>
      </w:tr>
    </w:tbl>
    <w:p w14:paraId="7AE0ABC1" w14:textId="77777777" w:rsidR="000F5588" w:rsidRDefault="000F5588" w:rsidP="000F5588">
      <w:pPr>
        <w:spacing w:after="180"/>
        <w:rPr>
          <w:rFonts w:ascii="Times New Roman" w:hAnsi="Times New Roman"/>
          <w:b/>
          <w:bCs/>
          <w:sz w:val="20"/>
          <w:szCs w:val="20"/>
        </w:rPr>
      </w:pPr>
    </w:p>
    <w:p w14:paraId="5DD0C510" w14:textId="2D24E136" w:rsidR="000F5588" w:rsidRPr="004657D8" w:rsidRDefault="000F5588" w:rsidP="000F5588">
      <w:pPr>
        <w:spacing w:after="180"/>
        <w:rPr>
          <w:rFonts w:ascii="Times New Roman" w:hAnsi="Times New Roman"/>
          <w:b/>
          <w:bCs/>
          <w:sz w:val="20"/>
          <w:szCs w:val="20"/>
        </w:rPr>
      </w:pPr>
      <w:r>
        <w:rPr>
          <w:rFonts w:ascii="Times New Roman" w:hAnsi="Times New Roman"/>
          <w:b/>
          <w:bCs/>
          <w:sz w:val="20"/>
          <w:szCs w:val="20"/>
        </w:rPr>
        <w:t>Observation</w:t>
      </w:r>
      <w:r w:rsidRPr="00AB5BCA">
        <w:rPr>
          <w:rFonts w:ascii="Times New Roman" w:hAnsi="Times New Roman"/>
          <w:b/>
          <w:bCs/>
          <w:sz w:val="20"/>
          <w:szCs w:val="20"/>
        </w:rPr>
        <w:t xml:space="preserve"> </w:t>
      </w:r>
      <w:r>
        <w:rPr>
          <w:rFonts w:ascii="Times New Roman" w:hAnsi="Times New Roman"/>
          <w:b/>
          <w:bCs/>
          <w:sz w:val="20"/>
          <w:szCs w:val="20"/>
        </w:rPr>
        <w:t>2</w:t>
      </w:r>
      <w:r w:rsidRPr="00AB5BCA">
        <w:rPr>
          <w:rFonts w:ascii="Times New Roman" w:hAnsi="Times New Roman"/>
          <w:b/>
          <w:bCs/>
          <w:sz w:val="20"/>
          <w:szCs w:val="20"/>
        </w:rPr>
        <w:t>:</w:t>
      </w:r>
      <w:r>
        <w:rPr>
          <w:rFonts w:ascii="Times New Roman" w:hAnsi="Times New Roman"/>
          <w:b/>
          <w:bCs/>
          <w:sz w:val="20"/>
          <w:szCs w:val="20"/>
        </w:rPr>
        <w:t xml:space="preserve"> Both Alt 1 (scalable model structure with joint training on scalable scenarios) and Alt 2 (dedicated model structure trained on dedicated data), are possible designs for scalability evaluation.</w:t>
      </w:r>
    </w:p>
    <w:p w14:paraId="1DCCAF6F" w14:textId="0C2CADCF" w:rsidR="008429AD" w:rsidRDefault="000B006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70259B7" w14:textId="77777777" w:rsidR="000F5588" w:rsidRPr="0095789F" w:rsidRDefault="000F5588" w:rsidP="000F5588">
      <w:pPr>
        <w:spacing w:after="180"/>
        <w:rPr>
          <w:rFonts w:ascii="Times New Roman" w:hAnsi="Times New Roman"/>
          <w:sz w:val="20"/>
          <w:szCs w:val="20"/>
        </w:rPr>
      </w:pPr>
      <w:r w:rsidRPr="0095789F">
        <w:rPr>
          <w:rFonts w:ascii="Times New Roman" w:hAnsi="Times New Roman"/>
          <w:sz w:val="20"/>
          <w:szCs w:val="20"/>
        </w:rPr>
        <w:t>[1] RP-252445</w:t>
      </w:r>
      <w:r>
        <w:rPr>
          <w:rFonts w:ascii="Times New Roman" w:hAnsi="Times New Roman"/>
          <w:sz w:val="20"/>
          <w:szCs w:val="20"/>
        </w:rPr>
        <w:t xml:space="preserve"> (revised from </w:t>
      </w:r>
      <w:r w:rsidRPr="00882C89">
        <w:rPr>
          <w:rFonts w:ascii="Times New Roman" w:hAnsi="Times New Roman"/>
          <w:sz w:val="20"/>
          <w:szCs w:val="20"/>
        </w:rPr>
        <w:t>RP-251870</w:t>
      </w:r>
      <w:r>
        <w:rPr>
          <w:rFonts w:ascii="Times New Roman" w:hAnsi="Times New Roman"/>
          <w:sz w:val="20"/>
          <w:szCs w:val="20"/>
        </w:rPr>
        <w:t>)</w:t>
      </w:r>
      <w:r w:rsidRPr="0095789F">
        <w:rPr>
          <w:rFonts w:ascii="Times New Roman" w:hAnsi="Times New Roman"/>
          <w:sz w:val="20"/>
          <w:szCs w:val="20"/>
        </w:rPr>
        <w:t>, “Revised WID: Artificial Intelligence (AI)/Machine Learning (ML) for NR air interface Phase 2”</w:t>
      </w:r>
      <w:r>
        <w:rPr>
          <w:rFonts w:ascii="Times New Roman" w:hAnsi="Times New Roman"/>
          <w:sz w:val="20"/>
          <w:szCs w:val="20"/>
        </w:rPr>
        <w:t>, Qualcomm, RAN#109</w:t>
      </w:r>
      <w:r w:rsidRPr="0095789F">
        <w:rPr>
          <w:rFonts w:ascii="Times New Roman" w:hAnsi="Times New Roman"/>
          <w:sz w:val="20"/>
          <w:szCs w:val="20"/>
        </w:rPr>
        <w:t>.</w:t>
      </w:r>
    </w:p>
    <w:p w14:paraId="08932ECB" w14:textId="5799BEE9" w:rsidR="00DF3128" w:rsidRPr="009410D5" w:rsidRDefault="00A3423E" w:rsidP="00DF3128">
      <w:pPr>
        <w:spacing w:after="180"/>
        <w:rPr>
          <w:rFonts w:ascii="Times New Roman" w:hAnsi="Times New Roman"/>
        </w:rPr>
      </w:pPr>
      <w:r w:rsidRPr="009410D5">
        <w:rPr>
          <w:rFonts w:ascii="Times New Roman" w:hAnsi="Times New Roman"/>
        </w:rPr>
        <w:t>[</w:t>
      </w:r>
      <w:r>
        <w:rPr>
          <w:rFonts w:ascii="Times New Roman" w:hAnsi="Times New Roman"/>
        </w:rPr>
        <w:t>2</w:t>
      </w:r>
      <w:r w:rsidRPr="009410D5">
        <w:rPr>
          <w:rFonts w:ascii="Times New Roman" w:hAnsi="Times New Roman"/>
        </w:rPr>
        <w:t>]</w:t>
      </w:r>
      <w:r w:rsidR="00F16D78">
        <w:rPr>
          <w:rFonts w:ascii="Times New Roman" w:hAnsi="Times New Roman"/>
        </w:rPr>
        <w:t xml:space="preserve"> </w:t>
      </w:r>
      <w:r w:rsidR="00F16D78" w:rsidRPr="00F16D78">
        <w:rPr>
          <w:rFonts w:ascii="Times New Roman" w:hAnsi="Times New Roman"/>
        </w:rPr>
        <w:t>R1-2501682</w:t>
      </w:r>
      <w:r w:rsidR="00F16D78">
        <w:rPr>
          <w:rFonts w:ascii="Times New Roman" w:hAnsi="Times New Roman"/>
        </w:rPr>
        <w:t>, “</w:t>
      </w:r>
      <w:r w:rsidR="00F16D78" w:rsidRPr="00F16D78">
        <w:rPr>
          <w:rFonts w:ascii="Times New Roman" w:hAnsi="Times New Roman"/>
        </w:rPr>
        <w:t>Report of 3GPP TSG RAN WG1 #120</w:t>
      </w:r>
      <w:r w:rsidR="00F16D78">
        <w:rPr>
          <w:rFonts w:ascii="Times New Roman" w:hAnsi="Times New Roman"/>
        </w:rPr>
        <w:t>”</w:t>
      </w:r>
    </w:p>
    <w:p w14:paraId="0D124E4F" w14:textId="36645891" w:rsidR="00FE2440" w:rsidRPr="009410D5" w:rsidRDefault="00FE2440" w:rsidP="00FE2440">
      <w:pPr>
        <w:spacing w:after="180"/>
        <w:rPr>
          <w:rFonts w:ascii="Times New Roman" w:hAnsi="Times New Roman"/>
        </w:rPr>
      </w:pPr>
      <w:r w:rsidRPr="009410D5">
        <w:rPr>
          <w:rFonts w:ascii="Times New Roman" w:hAnsi="Times New Roman"/>
        </w:rPr>
        <w:t>[</w:t>
      </w:r>
      <w:r>
        <w:rPr>
          <w:rFonts w:ascii="Times New Roman" w:hAnsi="Times New Roman"/>
        </w:rPr>
        <w:t>3</w:t>
      </w:r>
      <w:r w:rsidRPr="009410D5">
        <w:rPr>
          <w:rFonts w:ascii="Times New Roman" w:hAnsi="Times New Roman"/>
        </w:rPr>
        <w:t>]</w:t>
      </w:r>
      <w:r>
        <w:rPr>
          <w:rFonts w:ascii="Times New Roman" w:hAnsi="Times New Roman"/>
        </w:rPr>
        <w:t xml:space="preserve"> </w:t>
      </w:r>
      <w:r w:rsidR="00DF40E7" w:rsidRPr="00DF40E7">
        <w:rPr>
          <w:rFonts w:ascii="Times New Roman" w:hAnsi="Times New Roman"/>
        </w:rPr>
        <w:t>R1-2503201</w:t>
      </w:r>
      <w:r>
        <w:rPr>
          <w:rFonts w:ascii="Times New Roman" w:hAnsi="Times New Roman"/>
        </w:rPr>
        <w:t>, “</w:t>
      </w:r>
      <w:r w:rsidR="00DF40E7" w:rsidRPr="00DF40E7">
        <w:rPr>
          <w:rFonts w:ascii="Times New Roman" w:hAnsi="Times New Roman"/>
        </w:rPr>
        <w:t>Report of 3GPP TSG RAN WG1 #120bis</w:t>
      </w:r>
      <w:r>
        <w:rPr>
          <w:rFonts w:ascii="Times New Roman" w:hAnsi="Times New Roman"/>
        </w:rPr>
        <w:t>”</w:t>
      </w:r>
      <w:r w:rsidR="00C651CC">
        <w:rPr>
          <w:rFonts w:ascii="Times New Roman" w:hAnsi="Times New Roman"/>
        </w:rPr>
        <w:t xml:space="preserve"> </w:t>
      </w:r>
    </w:p>
    <w:p w14:paraId="53704600" w14:textId="0C7F5CA8" w:rsidR="009825A4" w:rsidRPr="00DF40E7" w:rsidRDefault="009825A4" w:rsidP="009825A4">
      <w:pPr>
        <w:spacing w:after="180"/>
        <w:rPr>
          <w:rFonts w:ascii="Times New Roman" w:hAnsi="Times New Roman"/>
        </w:rPr>
      </w:pPr>
    </w:p>
    <w:p w14:paraId="2DBBDB17" w14:textId="77777777" w:rsidR="00501034" w:rsidRPr="009825A4" w:rsidRDefault="00501034" w:rsidP="009410D5">
      <w:pPr>
        <w:spacing w:after="180"/>
        <w:rPr>
          <w:rFonts w:ascii="Times New Roman" w:hAnsi="Times New Roman"/>
        </w:rPr>
      </w:pPr>
    </w:p>
    <w:sectPr w:rsidR="00501034" w:rsidRPr="009825A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0E93" w14:textId="77777777" w:rsidR="00F669A7" w:rsidRDefault="00F669A7">
      <w:r>
        <w:separator/>
      </w:r>
    </w:p>
  </w:endnote>
  <w:endnote w:type="continuationSeparator" w:id="0">
    <w:p w14:paraId="1FD091D3" w14:textId="77777777" w:rsidR="00F669A7" w:rsidRDefault="00F6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6AC09" w14:textId="77777777" w:rsidR="00F669A7" w:rsidRDefault="00F669A7">
      <w:r>
        <w:separator/>
      </w:r>
    </w:p>
  </w:footnote>
  <w:footnote w:type="continuationSeparator" w:id="0">
    <w:p w14:paraId="3EB1AAAC" w14:textId="77777777" w:rsidR="00F669A7" w:rsidRDefault="00F66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78C"/>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15:restartNumberingAfterBreak="0">
    <w:nsid w:val="060E6AA9"/>
    <w:multiLevelType w:val="hybridMultilevel"/>
    <w:tmpl w:val="49F48F10"/>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07DC2290"/>
    <w:multiLevelType w:val="hybridMultilevel"/>
    <w:tmpl w:val="50B0C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74F5B"/>
    <w:multiLevelType w:val="hybridMultilevel"/>
    <w:tmpl w:val="1E88AD4C"/>
    <w:lvl w:ilvl="0" w:tplc="208CF58E">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6" w15:restartNumberingAfterBreak="0">
    <w:nsid w:val="127A056B"/>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7"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9" w15:restartNumberingAfterBreak="0">
    <w:nsid w:val="2A6D4DDB"/>
    <w:multiLevelType w:val="hybridMultilevel"/>
    <w:tmpl w:val="06EA7BD4"/>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0538B"/>
    <w:multiLevelType w:val="hybridMultilevel"/>
    <w:tmpl w:val="75FCA6E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7B4265"/>
    <w:multiLevelType w:val="hybridMultilevel"/>
    <w:tmpl w:val="D6B2F7E0"/>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9C6533A"/>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5C53269D"/>
    <w:multiLevelType w:val="hybridMultilevel"/>
    <w:tmpl w:val="F5A0C3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0" w15:restartNumberingAfterBreak="0">
    <w:nsid w:val="62F1786C"/>
    <w:multiLevelType w:val="hybridMultilevel"/>
    <w:tmpl w:val="309071C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B035FA"/>
    <w:multiLevelType w:val="hybridMultilevel"/>
    <w:tmpl w:val="DBC47B98"/>
    <w:lvl w:ilvl="0" w:tplc="09E02BE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E9925AB"/>
    <w:multiLevelType w:val="hybridMultilevel"/>
    <w:tmpl w:val="A88A3B7E"/>
    <w:lvl w:ilvl="0" w:tplc="86D4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D9B6453"/>
    <w:multiLevelType w:val="hybridMultilevel"/>
    <w:tmpl w:val="4022BE18"/>
    <w:lvl w:ilvl="0" w:tplc="2F08AACC">
      <w:start w:val="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22"/>
  </w:num>
  <w:num w:numId="3">
    <w:abstractNumId w:val="27"/>
  </w:num>
  <w:num w:numId="4">
    <w:abstractNumId w:val="13"/>
  </w:num>
  <w:num w:numId="5">
    <w:abstractNumId w:val="34"/>
  </w:num>
  <w:num w:numId="6">
    <w:abstractNumId w:val="17"/>
  </w:num>
  <w:num w:numId="7">
    <w:abstractNumId w:val="10"/>
  </w:num>
  <w:num w:numId="8">
    <w:abstractNumId w:val="30"/>
  </w:num>
  <w:num w:numId="9">
    <w:abstractNumId w:val="19"/>
  </w:num>
  <w:num w:numId="10">
    <w:abstractNumId w:val="9"/>
  </w:num>
  <w:num w:numId="11">
    <w:abstractNumId w:val="3"/>
  </w:num>
  <w:num w:numId="12">
    <w:abstractNumId w:val="16"/>
  </w:num>
  <w:num w:numId="13">
    <w:abstractNumId w:val="21"/>
  </w:num>
  <w:num w:numId="14">
    <w:abstractNumId w:val="28"/>
  </w:num>
  <w:num w:numId="15">
    <w:abstractNumId w:val="7"/>
  </w:num>
  <w:num w:numId="16">
    <w:abstractNumId w:val="31"/>
  </w:num>
  <w:num w:numId="17">
    <w:abstractNumId w:val="4"/>
  </w:num>
  <w:num w:numId="18">
    <w:abstractNumId w:val="2"/>
  </w:num>
  <w:num w:numId="19">
    <w:abstractNumId w:val="1"/>
  </w:num>
  <w:num w:numId="20">
    <w:abstractNumId w:val="33"/>
  </w:num>
  <w:num w:numId="21">
    <w:abstractNumId w:val="32"/>
  </w:num>
  <w:num w:numId="22">
    <w:abstractNumId w:val="5"/>
  </w:num>
  <w:num w:numId="23">
    <w:abstractNumId w:val="24"/>
  </w:num>
  <w:num w:numId="24">
    <w:abstractNumId w:val="11"/>
  </w:num>
  <w:num w:numId="25">
    <w:abstractNumId w:val="29"/>
  </w:num>
  <w:num w:numId="26">
    <w:abstractNumId w:val="0"/>
  </w:num>
  <w:num w:numId="27">
    <w:abstractNumId w:val="26"/>
  </w:num>
  <w:num w:numId="28">
    <w:abstractNumId w:val="8"/>
  </w:num>
  <w:num w:numId="29">
    <w:abstractNumId w:val="20"/>
  </w:num>
  <w:num w:numId="30">
    <w:abstractNumId w:val="12"/>
  </w:num>
  <w:num w:numId="31">
    <w:abstractNumId w:val="14"/>
  </w:num>
  <w:num w:numId="32">
    <w:abstractNumId w:val="6"/>
  </w:num>
  <w:num w:numId="33">
    <w:abstractNumId w:val="23"/>
  </w:num>
  <w:num w:numId="34">
    <w:abstractNumId w:val="18"/>
  </w:num>
  <w:num w:numId="35">
    <w:abstractNumId w:val="15"/>
  </w:num>
  <w:num w:numId="36">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EFD"/>
    <w:rsid w:val="00001AC5"/>
    <w:rsid w:val="000023BB"/>
    <w:rsid w:val="00002DD4"/>
    <w:rsid w:val="00004D37"/>
    <w:rsid w:val="00005C08"/>
    <w:rsid w:val="00006323"/>
    <w:rsid w:val="0000690E"/>
    <w:rsid w:val="00006A12"/>
    <w:rsid w:val="00007AEF"/>
    <w:rsid w:val="0001097B"/>
    <w:rsid w:val="00010AE0"/>
    <w:rsid w:val="00011009"/>
    <w:rsid w:val="000136A5"/>
    <w:rsid w:val="0001378D"/>
    <w:rsid w:val="00013FA7"/>
    <w:rsid w:val="000160D2"/>
    <w:rsid w:val="00016C66"/>
    <w:rsid w:val="0001799D"/>
    <w:rsid w:val="0002120C"/>
    <w:rsid w:val="00021222"/>
    <w:rsid w:val="00022B06"/>
    <w:rsid w:val="00023324"/>
    <w:rsid w:val="000236C3"/>
    <w:rsid w:val="0002530B"/>
    <w:rsid w:val="00025936"/>
    <w:rsid w:val="00025AF8"/>
    <w:rsid w:val="00025B99"/>
    <w:rsid w:val="00026097"/>
    <w:rsid w:val="000267A6"/>
    <w:rsid w:val="00026BF0"/>
    <w:rsid w:val="00026F3E"/>
    <w:rsid w:val="00027931"/>
    <w:rsid w:val="000311EB"/>
    <w:rsid w:val="0003171D"/>
    <w:rsid w:val="00031C1D"/>
    <w:rsid w:val="00032379"/>
    <w:rsid w:val="0003255B"/>
    <w:rsid w:val="00032AF6"/>
    <w:rsid w:val="0003313F"/>
    <w:rsid w:val="00033C6B"/>
    <w:rsid w:val="000353D1"/>
    <w:rsid w:val="000358CD"/>
    <w:rsid w:val="00036B50"/>
    <w:rsid w:val="0003795B"/>
    <w:rsid w:val="00040797"/>
    <w:rsid w:val="00041A3E"/>
    <w:rsid w:val="00041E89"/>
    <w:rsid w:val="00043092"/>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5DF0"/>
    <w:rsid w:val="000565B8"/>
    <w:rsid w:val="00056FCB"/>
    <w:rsid w:val="00057573"/>
    <w:rsid w:val="00057928"/>
    <w:rsid w:val="00057CD0"/>
    <w:rsid w:val="00057F68"/>
    <w:rsid w:val="00060BB7"/>
    <w:rsid w:val="0006109E"/>
    <w:rsid w:val="0006147F"/>
    <w:rsid w:val="0006266D"/>
    <w:rsid w:val="00063454"/>
    <w:rsid w:val="0006423C"/>
    <w:rsid w:val="00065506"/>
    <w:rsid w:val="00065A67"/>
    <w:rsid w:val="00065F80"/>
    <w:rsid w:val="00066E7E"/>
    <w:rsid w:val="000675CC"/>
    <w:rsid w:val="00067E07"/>
    <w:rsid w:val="00071215"/>
    <w:rsid w:val="00071E68"/>
    <w:rsid w:val="00072282"/>
    <w:rsid w:val="00073759"/>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204"/>
    <w:rsid w:val="0008562C"/>
    <w:rsid w:val="00085B90"/>
    <w:rsid w:val="00087548"/>
    <w:rsid w:val="000877D0"/>
    <w:rsid w:val="00087E17"/>
    <w:rsid w:val="00091104"/>
    <w:rsid w:val="00093261"/>
    <w:rsid w:val="0009360C"/>
    <w:rsid w:val="00093E7E"/>
    <w:rsid w:val="00093F42"/>
    <w:rsid w:val="0009557E"/>
    <w:rsid w:val="00095D15"/>
    <w:rsid w:val="00096F36"/>
    <w:rsid w:val="00097250"/>
    <w:rsid w:val="00097BCF"/>
    <w:rsid w:val="00097C14"/>
    <w:rsid w:val="000A0A1A"/>
    <w:rsid w:val="000A1830"/>
    <w:rsid w:val="000A1AE6"/>
    <w:rsid w:val="000A2BD1"/>
    <w:rsid w:val="000A326D"/>
    <w:rsid w:val="000A4121"/>
    <w:rsid w:val="000A4A6C"/>
    <w:rsid w:val="000A4AA3"/>
    <w:rsid w:val="000A550E"/>
    <w:rsid w:val="000B0061"/>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7"/>
    <w:rsid w:val="000B61DE"/>
    <w:rsid w:val="000B63BD"/>
    <w:rsid w:val="000B6601"/>
    <w:rsid w:val="000B7F02"/>
    <w:rsid w:val="000C064D"/>
    <w:rsid w:val="000C2BBB"/>
    <w:rsid w:val="000C338C"/>
    <w:rsid w:val="000C38C3"/>
    <w:rsid w:val="000C5B53"/>
    <w:rsid w:val="000C5E35"/>
    <w:rsid w:val="000C6CA8"/>
    <w:rsid w:val="000D0B29"/>
    <w:rsid w:val="000D11CB"/>
    <w:rsid w:val="000D1965"/>
    <w:rsid w:val="000D329B"/>
    <w:rsid w:val="000D4089"/>
    <w:rsid w:val="000D44FB"/>
    <w:rsid w:val="000D4F5E"/>
    <w:rsid w:val="000D50FE"/>
    <w:rsid w:val="000D66A7"/>
    <w:rsid w:val="000D6CFC"/>
    <w:rsid w:val="000D702D"/>
    <w:rsid w:val="000E254D"/>
    <w:rsid w:val="000E2599"/>
    <w:rsid w:val="000E3DA4"/>
    <w:rsid w:val="000E4891"/>
    <w:rsid w:val="000E4F3C"/>
    <w:rsid w:val="000E537B"/>
    <w:rsid w:val="000E57D0"/>
    <w:rsid w:val="000E595A"/>
    <w:rsid w:val="000E5F86"/>
    <w:rsid w:val="000E6331"/>
    <w:rsid w:val="000E64CB"/>
    <w:rsid w:val="000E71EF"/>
    <w:rsid w:val="000E7858"/>
    <w:rsid w:val="000E7E67"/>
    <w:rsid w:val="000F08E7"/>
    <w:rsid w:val="000F101B"/>
    <w:rsid w:val="000F1A7E"/>
    <w:rsid w:val="000F1DA8"/>
    <w:rsid w:val="000F30C5"/>
    <w:rsid w:val="000F330F"/>
    <w:rsid w:val="000F4CDD"/>
    <w:rsid w:val="000F5023"/>
    <w:rsid w:val="000F5588"/>
    <w:rsid w:val="000F5F02"/>
    <w:rsid w:val="000F7828"/>
    <w:rsid w:val="001009A7"/>
    <w:rsid w:val="00100F87"/>
    <w:rsid w:val="0010249C"/>
    <w:rsid w:val="00102F89"/>
    <w:rsid w:val="00103AB6"/>
    <w:rsid w:val="00104DFD"/>
    <w:rsid w:val="0010519A"/>
    <w:rsid w:val="0010535D"/>
    <w:rsid w:val="00105CC1"/>
    <w:rsid w:val="001062FD"/>
    <w:rsid w:val="0010639C"/>
    <w:rsid w:val="00106C19"/>
    <w:rsid w:val="00106FD1"/>
    <w:rsid w:val="00107688"/>
    <w:rsid w:val="00107C2C"/>
    <w:rsid w:val="00110360"/>
    <w:rsid w:val="00110CA8"/>
    <w:rsid w:val="00110E26"/>
    <w:rsid w:val="0011167D"/>
    <w:rsid w:val="00114609"/>
    <w:rsid w:val="00114E3E"/>
    <w:rsid w:val="0011569E"/>
    <w:rsid w:val="001163AF"/>
    <w:rsid w:val="00117BD6"/>
    <w:rsid w:val="001206C2"/>
    <w:rsid w:val="00121360"/>
    <w:rsid w:val="00121978"/>
    <w:rsid w:val="00121B67"/>
    <w:rsid w:val="0012268F"/>
    <w:rsid w:val="00123422"/>
    <w:rsid w:val="001235C6"/>
    <w:rsid w:val="00123A38"/>
    <w:rsid w:val="00124B6A"/>
    <w:rsid w:val="0012557D"/>
    <w:rsid w:val="001259BD"/>
    <w:rsid w:val="001261AF"/>
    <w:rsid w:val="0012697D"/>
    <w:rsid w:val="00126E68"/>
    <w:rsid w:val="001270DF"/>
    <w:rsid w:val="00127974"/>
    <w:rsid w:val="00130B82"/>
    <w:rsid w:val="001318B6"/>
    <w:rsid w:val="00132030"/>
    <w:rsid w:val="001321E0"/>
    <w:rsid w:val="0013461C"/>
    <w:rsid w:val="00134C78"/>
    <w:rsid w:val="00135800"/>
    <w:rsid w:val="00135AFF"/>
    <w:rsid w:val="00135D4F"/>
    <w:rsid w:val="001365E6"/>
    <w:rsid w:val="00136E4D"/>
    <w:rsid w:val="00137996"/>
    <w:rsid w:val="0014039F"/>
    <w:rsid w:val="00142907"/>
    <w:rsid w:val="00142D33"/>
    <w:rsid w:val="00143548"/>
    <w:rsid w:val="001437F2"/>
    <w:rsid w:val="00143857"/>
    <w:rsid w:val="001440CF"/>
    <w:rsid w:val="00144F96"/>
    <w:rsid w:val="0014527D"/>
    <w:rsid w:val="00147700"/>
    <w:rsid w:val="00150641"/>
    <w:rsid w:val="001510E7"/>
    <w:rsid w:val="0015138D"/>
    <w:rsid w:val="00151EAC"/>
    <w:rsid w:val="001525C5"/>
    <w:rsid w:val="00152C68"/>
    <w:rsid w:val="00153393"/>
    <w:rsid w:val="001533B1"/>
    <w:rsid w:val="00153528"/>
    <w:rsid w:val="00153659"/>
    <w:rsid w:val="00153941"/>
    <w:rsid w:val="00153969"/>
    <w:rsid w:val="00153AF7"/>
    <w:rsid w:val="00154116"/>
    <w:rsid w:val="00154E68"/>
    <w:rsid w:val="001553CC"/>
    <w:rsid w:val="0015707D"/>
    <w:rsid w:val="001578C0"/>
    <w:rsid w:val="00157ECC"/>
    <w:rsid w:val="00161771"/>
    <w:rsid w:val="00161A6B"/>
    <w:rsid w:val="00161DAC"/>
    <w:rsid w:val="00162004"/>
    <w:rsid w:val="00162548"/>
    <w:rsid w:val="001628B4"/>
    <w:rsid w:val="00162F2C"/>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032"/>
    <w:rsid w:val="00177DA7"/>
    <w:rsid w:val="00180E09"/>
    <w:rsid w:val="00181848"/>
    <w:rsid w:val="00181DD4"/>
    <w:rsid w:val="001832A4"/>
    <w:rsid w:val="00183D4C"/>
    <w:rsid w:val="00183F6D"/>
    <w:rsid w:val="001844F2"/>
    <w:rsid w:val="00185BC9"/>
    <w:rsid w:val="00185D6D"/>
    <w:rsid w:val="0018670E"/>
    <w:rsid w:val="0018681E"/>
    <w:rsid w:val="00186B0E"/>
    <w:rsid w:val="00187127"/>
    <w:rsid w:val="00187C00"/>
    <w:rsid w:val="00191505"/>
    <w:rsid w:val="001920D8"/>
    <w:rsid w:val="001925AD"/>
    <w:rsid w:val="00193244"/>
    <w:rsid w:val="0019427B"/>
    <w:rsid w:val="001943C1"/>
    <w:rsid w:val="0019495A"/>
    <w:rsid w:val="00194B1B"/>
    <w:rsid w:val="00194C28"/>
    <w:rsid w:val="00195077"/>
    <w:rsid w:val="001952A9"/>
    <w:rsid w:val="00196359"/>
    <w:rsid w:val="00196AEB"/>
    <w:rsid w:val="001975B8"/>
    <w:rsid w:val="001A08AA"/>
    <w:rsid w:val="001A0A2E"/>
    <w:rsid w:val="001A0E47"/>
    <w:rsid w:val="001A3A90"/>
    <w:rsid w:val="001A4177"/>
    <w:rsid w:val="001A43F1"/>
    <w:rsid w:val="001A55F4"/>
    <w:rsid w:val="001A6064"/>
    <w:rsid w:val="001A65F3"/>
    <w:rsid w:val="001A6727"/>
    <w:rsid w:val="001A6CE9"/>
    <w:rsid w:val="001A7004"/>
    <w:rsid w:val="001A7008"/>
    <w:rsid w:val="001B033A"/>
    <w:rsid w:val="001B169E"/>
    <w:rsid w:val="001B48C6"/>
    <w:rsid w:val="001B4EC8"/>
    <w:rsid w:val="001B4F40"/>
    <w:rsid w:val="001B5336"/>
    <w:rsid w:val="001B772D"/>
    <w:rsid w:val="001C0FE7"/>
    <w:rsid w:val="001C1409"/>
    <w:rsid w:val="001C2EC3"/>
    <w:rsid w:val="001C34AB"/>
    <w:rsid w:val="001C3B11"/>
    <w:rsid w:val="001C4517"/>
    <w:rsid w:val="001C4A89"/>
    <w:rsid w:val="001C4DAC"/>
    <w:rsid w:val="001C529C"/>
    <w:rsid w:val="001C6177"/>
    <w:rsid w:val="001C636C"/>
    <w:rsid w:val="001C6D47"/>
    <w:rsid w:val="001C7D95"/>
    <w:rsid w:val="001D0363"/>
    <w:rsid w:val="001D0435"/>
    <w:rsid w:val="001D12EA"/>
    <w:rsid w:val="001D2CAC"/>
    <w:rsid w:val="001D39C5"/>
    <w:rsid w:val="001D3CD3"/>
    <w:rsid w:val="001D4399"/>
    <w:rsid w:val="001D5CA2"/>
    <w:rsid w:val="001D5CB0"/>
    <w:rsid w:val="001D75C0"/>
    <w:rsid w:val="001D7D94"/>
    <w:rsid w:val="001E064E"/>
    <w:rsid w:val="001E0673"/>
    <w:rsid w:val="001E137D"/>
    <w:rsid w:val="001E13AE"/>
    <w:rsid w:val="001E2DD3"/>
    <w:rsid w:val="001E4218"/>
    <w:rsid w:val="001E4B3E"/>
    <w:rsid w:val="001E5066"/>
    <w:rsid w:val="001E52F2"/>
    <w:rsid w:val="001E5A1F"/>
    <w:rsid w:val="001F016C"/>
    <w:rsid w:val="001F0626"/>
    <w:rsid w:val="001F0B20"/>
    <w:rsid w:val="001F102D"/>
    <w:rsid w:val="001F18A9"/>
    <w:rsid w:val="001F1CEC"/>
    <w:rsid w:val="001F27C0"/>
    <w:rsid w:val="001F2AE7"/>
    <w:rsid w:val="001F2B88"/>
    <w:rsid w:val="001F2BCE"/>
    <w:rsid w:val="001F3199"/>
    <w:rsid w:val="001F4119"/>
    <w:rsid w:val="001F4E8D"/>
    <w:rsid w:val="001F5860"/>
    <w:rsid w:val="001F5D70"/>
    <w:rsid w:val="001F5F02"/>
    <w:rsid w:val="001F67A5"/>
    <w:rsid w:val="001F68E8"/>
    <w:rsid w:val="001F6C75"/>
    <w:rsid w:val="001F7E8A"/>
    <w:rsid w:val="002006F7"/>
    <w:rsid w:val="00200A62"/>
    <w:rsid w:val="002010E0"/>
    <w:rsid w:val="00201933"/>
    <w:rsid w:val="00201E3F"/>
    <w:rsid w:val="0020272F"/>
    <w:rsid w:val="0020312D"/>
    <w:rsid w:val="002031D1"/>
    <w:rsid w:val="00203740"/>
    <w:rsid w:val="002046C7"/>
    <w:rsid w:val="00205A5E"/>
    <w:rsid w:val="0021012C"/>
    <w:rsid w:val="00210FE2"/>
    <w:rsid w:val="00211143"/>
    <w:rsid w:val="0021162C"/>
    <w:rsid w:val="00213818"/>
    <w:rsid w:val="002138EA"/>
    <w:rsid w:val="00213F84"/>
    <w:rsid w:val="002140DA"/>
    <w:rsid w:val="00214FBD"/>
    <w:rsid w:val="00215BA1"/>
    <w:rsid w:val="00216D94"/>
    <w:rsid w:val="00216DA0"/>
    <w:rsid w:val="00220A88"/>
    <w:rsid w:val="00220CBA"/>
    <w:rsid w:val="00220DD3"/>
    <w:rsid w:val="00221537"/>
    <w:rsid w:val="0022199D"/>
    <w:rsid w:val="00221F9A"/>
    <w:rsid w:val="00221FFD"/>
    <w:rsid w:val="002225D2"/>
    <w:rsid w:val="00222897"/>
    <w:rsid w:val="00222B0C"/>
    <w:rsid w:val="00224D34"/>
    <w:rsid w:val="00227041"/>
    <w:rsid w:val="00227A12"/>
    <w:rsid w:val="00227C78"/>
    <w:rsid w:val="0023055E"/>
    <w:rsid w:val="00230769"/>
    <w:rsid w:val="00230859"/>
    <w:rsid w:val="00232E2B"/>
    <w:rsid w:val="00234199"/>
    <w:rsid w:val="002343DB"/>
    <w:rsid w:val="002346F1"/>
    <w:rsid w:val="00235394"/>
    <w:rsid w:val="00235577"/>
    <w:rsid w:val="0023677B"/>
    <w:rsid w:val="002405B0"/>
    <w:rsid w:val="00241A05"/>
    <w:rsid w:val="00241FA4"/>
    <w:rsid w:val="002435CA"/>
    <w:rsid w:val="00243983"/>
    <w:rsid w:val="00243EBA"/>
    <w:rsid w:val="0024469F"/>
    <w:rsid w:val="0024485C"/>
    <w:rsid w:val="00245BA3"/>
    <w:rsid w:val="0024627C"/>
    <w:rsid w:val="00247571"/>
    <w:rsid w:val="00247C4A"/>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2C29"/>
    <w:rsid w:val="0026389A"/>
    <w:rsid w:val="00263B46"/>
    <w:rsid w:val="00263DA8"/>
    <w:rsid w:val="00264250"/>
    <w:rsid w:val="00264F5A"/>
    <w:rsid w:val="00266AE4"/>
    <w:rsid w:val="00266FDB"/>
    <w:rsid w:val="00267971"/>
    <w:rsid w:val="00270CD7"/>
    <w:rsid w:val="00271509"/>
    <w:rsid w:val="00271A38"/>
    <w:rsid w:val="00271DC2"/>
    <w:rsid w:val="00272A2F"/>
    <w:rsid w:val="00274A7F"/>
    <w:rsid w:val="00274E1A"/>
    <w:rsid w:val="00275CC9"/>
    <w:rsid w:val="00276B32"/>
    <w:rsid w:val="002775B1"/>
    <w:rsid w:val="002775B9"/>
    <w:rsid w:val="002811C4"/>
    <w:rsid w:val="00281639"/>
    <w:rsid w:val="00281656"/>
    <w:rsid w:val="00281AD6"/>
    <w:rsid w:val="00282213"/>
    <w:rsid w:val="00282DC8"/>
    <w:rsid w:val="002830DA"/>
    <w:rsid w:val="00283E5E"/>
    <w:rsid w:val="00284016"/>
    <w:rsid w:val="0028424C"/>
    <w:rsid w:val="002848C5"/>
    <w:rsid w:val="0028513F"/>
    <w:rsid w:val="002858BF"/>
    <w:rsid w:val="00285F58"/>
    <w:rsid w:val="00286696"/>
    <w:rsid w:val="00287D08"/>
    <w:rsid w:val="00290C5F"/>
    <w:rsid w:val="00291F3B"/>
    <w:rsid w:val="002928D0"/>
    <w:rsid w:val="002929EE"/>
    <w:rsid w:val="00292F73"/>
    <w:rsid w:val="002930E1"/>
    <w:rsid w:val="00293318"/>
    <w:rsid w:val="002939AF"/>
    <w:rsid w:val="00293C77"/>
    <w:rsid w:val="00294491"/>
    <w:rsid w:val="00294BDE"/>
    <w:rsid w:val="00295D81"/>
    <w:rsid w:val="00296012"/>
    <w:rsid w:val="002967AC"/>
    <w:rsid w:val="002969AA"/>
    <w:rsid w:val="00296A91"/>
    <w:rsid w:val="002979F5"/>
    <w:rsid w:val="00297E2B"/>
    <w:rsid w:val="002A0CED"/>
    <w:rsid w:val="002A108A"/>
    <w:rsid w:val="002A212F"/>
    <w:rsid w:val="002A26D2"/>
    <w:rsid w:val="002A2BEE"/>
    <w:rsid w:val="002A3201"/>
    <w:rsid w:val="002A3E46"/>
    <w:rsid w:val="002A40EA"/>
    <w:rsid w:val="002A49BD"/>
    <w:rsid w:val="002A4CD0"/>
    <w:rsid w:val="002A5BDF"/>
    <w:rsid w:val="002A6E69"/>
    <w:rsid w:val="002A7DA6"/>
    <w:rsid w:val="002A7DC4"/>
    <w:rsid w:val="002B00C9"/>
    <w:rsid w:val="002B22B9"/>
    <w:rsid w:val="002B245B"/>
    <w:rsid w:val="002B253A"/>
    <w:rsid w:val="002B25F0"/>
    <w:rsid w:val="002B516C"/>
    <w:rsid w:val="002B60C1"/>
    <w:rsid w:val="002B6ACA"/>
    <w:rsid w:val="002C1090"/>
    <w:rsid w:val="002C297F"/>
    <w:rsid w:val="002C2A07"/>
    <w:rsid w:val="002C340A"/>
    <w:rsid w:val="002C3573"/>
    <w:rsid w:val="002C3FE8"/>
    <w:rsid w:val="002C4969"/>
    <w:rsid w:val="002C4B52"/>
    <w:rsid w:val="002C5C0E"/>
    <w:rsid w:val="002C62F6"/>
    <w:rsid w:val="002C777A"/>
    <w:rsid w:val="002D03E5"/>
    <w:rsid w:val="002D14DE"/>
    <w:rsid w:val="002D1FCA"/>
    <w:rsid w:val="002D2149"/>
    <w:rsid w:val="002D222B"/>
    <w:rsid w:val="002D2A56"/>
    <w:rsid w:val="002D2AEB"/>
    <w:rsid w:val="002D31F5"/>
    <w:rsid w:val="002D3434"/>
    <w:rsid w:val="002D36EB"/>
    <w:rsid w:val="002D3BBE"/>
    <w:rsid w:val="002D5333"/>
    <w:rsid w:val="002D57EB"/>
    <w:rsid w:val="002E0E15"/>
    <w:rsid w:val="002E195F"/>
    <w:rsid w:val="002E2A1C"/>
    <w:rsid w:val="002E2CBE"/>
    <w:rsid w:val="002E2CE9"/>
    <w:rsid w:val="002E345E"/>
    <w:rsid w:val="002E3BF7"/>
    <w:rsid w:val="002E3EA4"/>
    <w:rsid w:val="002E48E0"/>
    <w:rsid w:val="002E54B5"/>
    <w:rsid w:val="002E5694"/>
    <w:rsid w:val="002F114A"/>
    <w:rsid w:val="002F158C"/>
    <w:rsid w:val="002F1672"/>
    <w:rsid w:val="002F20C5"/>
    <w:rsid w:val="002F2D2E"/>
    <w:rsid w:val="002F4093"/>
    <w:rsid w:val="002F52B1"/>
    <w:rsid w:val="002F5636"/>
    <w:rsid w:val="002F589B"/>
    <w:rsid w:val="0030041F"/>
    <w:rsid w:val="00300741"/>
    <w:rsid w:val="00301094"/>
    <w:rsid w:val="00301C00"/>
    <w:rsid w:val="003022A5"/>
    <w:rsid w:val="003025EB"/>
    <w:rsid w:val="00303920"/>
    <w:rsid w:val="00303AF7"/>
    <w:rsid w:val="00304513"/>
    <w:rsid w:val="00304563"/>
    <w:rsid w:val="00305393"/>
    <w:rsid w:val="00305B22"/>
    <w:rsid w:val="00305CF9"/>
    <w:rsid w:val="00305CFB"/>
    <w:rsid w:val="003063F0"/>
    <w:rsid w:val="003069DD"/>
    <w:rsid w:val="003071C1"/>
    <w:rsid w:val="00307535"/>
    <w:rsid w:val="0030753F"/>
    <w:rsid w:val="003076F8"/>
    <w:rsid w:val="00307A14"/>
    <w:rsid w:val="0031061B"/>
    <w:rsid w:val="00310837"/>
    <w:rsid w:val="00311116"/>
    <w:rsid w:val="00311148"/>
    <w:rsid w:val="0031298A"/>
    <w:rsid w:val="00315267"/>
    <w:rsid w:val="00315385"/>
    <w:rsid w:val="00315594"/>
    <w:rsid w:val="0031577E"/>
    <w:rsid w:val="00315867"/>
    <w:rsid w:val="00321BF4"/>
    <w:rsid w:val="00322146"/>
    <w:rsid w:val="00322299"/>
    <w:rsid w:val="00323613"/>
    <w:rsid w:val="003240A0"/>
    <w:rsid w:val="003244C7"/>
    <w:rsid w:val="00324956"/>
    <w:rsid w:val="003260D7"/>
    <w:rsid w:val="00326624"/>
    <w:rsid w:val="003267D0"/>
    <w:rsid w:val="003276B3"/>
    <w:rsid w:val="00330156"/>
    <w:rsid w:val="003302F3"/>
    <w:rsid w:val="0033138D"/>
    <w:rsid w:val="00331B30"/>
    <w:rsid w:val="00332A1C"/>
    <w:rsid w:val="0033425F"/>
    <w:rsid w:val="003356B9"/>
    <w:rsid w:val="0033597C"/>
    <w:rsid w:val="00337706"/>
    <w:rsid w:val="003404B1"/>
    <w:rsid w:val="00341CA0"/>
    <w:rsid w:val="003425DF"/>
    <w:rsid w:val="00342CE8"/>
    <w:rsid w:val="0034377D"/>
    <w:rsid w:val="00343AAC"/>
    <w:rsid w:val="003448B9"/>
    <w:rsid w:val="00344A1C"/>
    <w:rsid w:val="00344F58"/>
    <w:rsid w:val="00345E47"/>
    <w:rsid w:val="00346D00"/>
    <w:rsid w:val="00347208"/>
    <w:rsid w:val="00347CA3"/>
    <w:rsid w:val="00350264"/>
    <w:rsid w:val="00350FD6"/>
    <w:rsid w:val="00351331"/>
    <w:rsid w:val="00351B8E"/>
    <w:rsid w:val="00352BCD"/>
    <w:rsid w:val="00352C53"/>
    <w:rsid w:val="00353384"/>
    <w:rsid w:val="00355873"/>
    <w:rsid w:val="00355A7A"/>
    <w:rsid w:val="00355C5E"/>
    <w:rsid w:val="0035660F"/>
    <w:rsid w:val="00356F8F"/>
    <w:rsid w:val="0035753A"/>
    <w:rsid w:val="00357F4C"/>
    <w:rsid w:val="00357FAF"/>
    <w:rsid w:val="0036087F"/>
    <w:rsid w:val="00361066"/>
    <w:rsid w:val="00361700"/>
    <w:rsid w:val="003628B9"/>
    <w:rsid w:val="00362C6E"/>
    <w:rsid w:val="00362D8F"/>
    <w:rsid w:val="00364D05"/>
    <w:rsid w:val="00366712"/>
    <w:rsid w:val="0036687E"/>
    <w:rsid w:val="00367397"/>
    <w:rsid w:val="00367724"/>
    <w:rsid w:val="00367CB7"/>
    <w:rsid w:val="00370E52"/>
    <w:rsid w:val="00370F68"/>
    <w:rsid w:val="00371835"/>
    <w:rsid w:val="003725A5"/>
    <w:rsid w:val="003729EC"/>
    <w:rsid w:val="003730C9"/>
    <w:rsid w:val="00373CF5"/>
    <w:rsid w:val="003752A0"/>
    <w:rsid w:val="00375855"/>
    <w:rsid w:val="00375C55"/>
    <w:rsid w:val="003763D8"/>
    <w:rsid w:val="0037685F"/>
    <w:rsid w:val="00376BB3"/>
    <w:rsid w:val="00376FFE"/>
    <w:rsid w:val="003770F6"/>
    <w:rsid w:val="00380139"/>
    <w:rsid w:val="00381900"/>
    <w:rsid w:val="0038212D"/>
    <w:rsid w:val="0038258E"/>
    <w:rsid w:val="00382776"/>
    <w:rsid w:val="00382E2E"/>
    <w:rsid w:val="00383761"/>
    <w:rsid w:val="00385393"/>
    <w:rsid w:val="00386825"/>
    <w:rsid w:val="00386D93"/>
    <w:rsid w:val="00386EA6"/>
    <w:rsid w:val="00387B66"/>
    <w:rsid w:val="00391FCC"/>
    <w:rsid w:val="00392D61"/>
    <w:rsid w:val="00392EB0"/>
    <w:rsid w:val="00393042"/>
    <w:rsid w:val="00394AD5"/>
    <w:rsid w:val="00395163"/>
    <w:rsid w:val="003959F3"/>
    <w:rsid w:val="00395C5E"/>
    <w:rsid w:val="0039642D"/>
    <w:rsid w:val="003A066B"/>
    <w:rsid w:val="003A087B"/>
    <w:rsid w:val="003A0CB8"/>
    <w:rsid w:val="003A0F18"/>
    <w:rsid w:val="003A2E40"/>
    <w:rsid w:val="003A36EC"/>
    <w:rsid w:val="003A42F1"/>
    <w:rsid w:val="003A43FE"/>
    <w:rsid w:val="003A4F44"/>
    <w:rsid w:val="003A5F88"/>
    <w:rsid w:val="003A7C41"/>
    <w:rsid w:val="003A7EDE"/>
    <w:rsid w:val="003B0158"/>
    <w:rsid w:val="003B027F"/>
    <w:rsid w:val="003B0A53"/>
    <w:rsid w:val="003B0EA5"/>
    <w:rsid w:val="003B1617"/>
    <w:rsid w:val="003B2609"/>
    <w:rsid w:val="003B300F"/>
    <w:rsid w:val="003B321B"/>
    <w:rsid w:val="003B3CB3"/>
    <w:rsid w:val="003B4DE7"/>
    <w:rsid w:val="003B56DB"/>
    <w:rsid w:val="003B5A80"/>
    <w:rsid w:val="003B5E01"/>
    <w:rsid w:val="003B5FBA"/>
    <w:rsid w:val="003B6C83"/>
    <w:rsid w:val="003B755E"/>
    <w:rsid w:val="003C000B"/>
    <w:rsid w:val="003C0FF6"/>
    <w:rsid w:val="003C1079"/>
    <w:rsid w:val="003C228E"/>
    <w:rsid w:val="003C2460"/>
    <w:rsid w:val="003C4571"/>
    <w:rsid w:val="003C5127"/>
    <w:rsid w:val="003C51E7"/>
    <w:rsid w:val="003C5ED2"/>
    <w:rsid w:val="003C5ED9"/>
    <w:rsid w:val="003C766F"/>
    <w:rsid w:val="003C7B1F"/>
    <w:rsid w:val="003C7EA8"/>
    <w:rsid w:val="003D0331"/>
    <w:rsid w:val="003D0B63"/>
    <w:rsid w:val="003D0CBF"/>
    <w:rsid w:val="003D1EFD"/>
    <w:rsid w:val="003D2110"/>
    <w:rsid w:val="003D28BF"/>
    <w:rsid w:val="003D2C02"/>
    <w:rsid w:val="003D34A5"/>
    <w:rsid w:val="003D4022"/>
    <w:rsid w:val="003D4215"/>
    <w:rsid w:val="003D5F3C"/>
    <w:rsid w:val="003D5FC3"/>
    <w:rsid w:val="003D62EE"/>
    <w:rsid w:val="003D76A6"/>
    <w:rsid w:val="003D7719"/>
    <w:rsid w:val="003D79C5"/>
    <w:rsid w:val="003D79F1"/>
    <w:rsid w:val="003E0E24"/>
    <w:rsid w:val="003E23B5"/>
    <w:rsid w:val="003E2786"/>
    <w:rsid w:val="003E27A3"/>
    <w:rsid w:val="003E456F"/>
    <w:rsid w:val="003E5B0F"/>
    <w:rsid w:val="003E7B9E"/>
    <w:rsid w:val="003E7C5E"/>
    <w:rsid w:val="003F0169"/>
    <w:rsid w:val="003F0C1D"/>
    <w:rsid w:val="003F0E89"/>
    <w:rsid w:val="003F1789"/>
    <w:rsid w:val="003F1C1B"/>
    <w:rsid w:val="003F2458"/>
    <w:rsid w:val="003F29BC"/>
    <w:rsid w:val="003F35B1"/>
    <w:rsid w:val="003F3F1A"/>
    <w:rsid w:val="003F4089"/>
    <w:rsid w:val="003F7C56"/>
    <w:rsid w:val="003F7EEC"/>
    <w:rsid w:val="004007FE"/>
    <w:rsid w:val="00400BFF"/>
    <w:rsid w:val="00401144"/>
    <w:rsid w:val="00402595"/>
    <w:rsid w:val="004027BC"/>
    <w:rsid w:val="00403CE7"/>
    <w:rsid w:val="0040452C"/>
    <w:rsid w:val="00404D3E"/>
    <w:rsid w:val="00405B21"/>
    <w:rsid w:val="00406979"/>
    <w:rsid w:val="0040732C"/>
    <w:rsid w:val="00407661"/>
    <w:rsid w:val="00410314"/>
    <w:rsid w:val="004105B8"/>
    <w:rsid w:val="0041101E"/>
    <w:rsid w:val="004118F4"/>
    <w:rsid w:val="00411995"/>
    <w:rsid w:val="00412063"/>
    <w:rsid w:val="00412EB1"/>
    <w:rsid w:val="004138D8"/>
    <w:rsid w:val="00414118"/>
    <w:rsid w:val="00416084"/>
    <w:rsid w:val="004160A9"/>
    <w:rsid w:val="0041671D"/>
    <w:rsid w:val="00416811"/>
    <w:rsid w:val="004168BB"/>
    <w:rsid w:val="00416FC1"/>
    <w:rsid w:val="004175FC"/>
    <w:rsid w:val="00417B3D"/>
    <w:rsid w:val="00420587"/>
    <w:rsid w:val="004215F1"/>
    <w:rsid w:val="004221E0"/>
    <w:rsid w:val="004225DA"/>
    <w:rsid w:val="00422A19"/>
    <w:rsid w:val="00422F51"/>
    <w:rsid w:val="00422F9E"/>
    <w:rsid w:val="00423E9E"/>
    <w:rsid w:val="00424F8C"/>
    <w:rsid w:val="00424F9C"/>
    <w:rsid w:val="004257D1"/>
    <w:rsid w:val="00425E1C"/>
    <w:rsid w:val="00426989"/>
    <w:rsid w:val="004271BA"/>
    <w:rsid w:val="0043296A"/>
    <w:rsid w:val="00432DE4"/>
    <w:rsid w:val="0043355D"/>
    <w:rsid w:val="00433F81"/>
    <w:rsid w:val="00434184"/>
    <w:rsid w:val="004344E5"/>
    <w:rsid w:val="00434DC1"/>
    <w:rsid w:val="004350F4"/>
    <w:rsid w:val="00435144"/>
    <w:rsid w:val="00435734"/>
    <w:rsid w:val="00435D3C"/>
    <w:rsid w:val="004368B5"/>
    <w:rsid w:val="00437AAF"/>
    <w:rsid w:val="004412A0"/>
    <w:rsid w:val="0044143D"/>
    <w:rsid w:val="00445301"/>
    <w:rsid w:val="00445F14"/>
    <w:rsid w:val="004461BF"/>
    <w:rsid w:val="00446D84"/>
    <w:rsid w:val="00450F27"/>
    <w:rsid w:val="0045318C"/>
    <w:rsid w:val="004541B9"/>
    <w:rsid w:val="0045438B"/>
    <w:rsid w:val="00456A75"/>
    <w:rsid w:val="00456E5B"/>
    <w:rsid w:val="00457D7F"/>
    <w:rsid w:val="00461582"/>
    <w:rsid w:val="00461E39"/>
    <w:rsid w:val="00462133"/>
    <w:rsid w:val="00462D3A"/>
    <w:rsid w:val="004634EB"/>
    <w:rsid w:val="00463521"/>
    <w:rsid w:val="00464301"/>
    <w:rsid w:val="00464C67"/>
    <w:rsid w:val="00464F50"/>
    <w:rsid w:val="004653CA"/>
    <w:rsid w:val="004657D8"/>
    <w:rsid w:val="00467E06"/>
    <w:rsid w:val="00471125"/>
    <w:rsid w:val="00472F17"/>
    <w:rsid w:val="00473553"/>
    <w:rsid w:val="00473695"/>
    <w:rsid w:val="00473C63"/>
    <w:rsid w:val="00473D9B"/>
    <w:rsid w:val="0047437A"/>
    <w:rsid w:val="00475420"/>
    <w:rsid w:val="004761C5"/>
    <w:rsid w:val="004767E8"/>
    <w:rsid w:val="00477C71"/>
    <w:rsid w:val="004811F4"/>
    <w:rsid w:val="00481A04"/>
    <w:rsid w:val="00483248"/>
    <w:rsid w:val="00484B48"/>
    <w:rsid w:val="00484C51"/>
    <w:rsid w:val="0048543E"/>
    <w:rsid w:val="00485466"/>
    <w:rsid w:val="00485492"/>
    <w:rsid w:val="004854B4"/>
    <w:rsid w:val="00485766"/>
    <w:rsid w:val="00486711"/>
    <w:rsid w:val="004868C1"/>
    <w:rsid w:val="00486A5C"/>
    <w:rsid w:val="004871E4"/>
    <w:rsid w:val="0048750F"/>
    <w:rsid w:val="00487D36"/>
    <w:rsid w:val="00490F17"/>
    <w:rsid w:val="00490FB2"/>
    <w:rsid w:val="0049127D"/>
    <w:rsid w:val="0049144C"/>
    <w:rsid w:val="00491B05"/>
    <w:rsid w:val="00493387"/>
    <w:rsid w:val="004939A2"/>
    <w:rsid w:val="00493D82"/>
    <w:rsid w:val="00494395"/>
    <w:rsid w:val="00494CD0"/>
    <w:rsid w:val="00494D6A"/>
    <w:rsid w:val="00495197"/>
    <w:rsid w:val="00495D6D"/>
    <w:rsid w:val="00496FB4"/>
    <w:rsid w:val="004A05F9"/>
    <w:rsid w:val="004A09D4"/>
    <w:rsid w:val="004A0CEA"/>
    <w:rsid w:val="004A0F95"/>
    <w:rsid w:val="004A1CCD"/>
    <w:rsid w:val="004A2652"/>
    <w:rsid w:val="004A495F"/>
    <w:rsid w:val="004A577A"/>
    <w:rsid w:val="004A71D7"/>
    <w:rsid w:val="004A76DC"/>
    <w:rsid w:val="004A783D"/>
    <w:rsid w:val="004A7A4E"/>
    <w:rsid w:val="004A7F84"/>
    <w:rsid w:val="004B139A"/>
    <w:rsid w:val="004B149F"/>
    <w:rsid w:val="004B1D60"/>
    <w:rsid w:val="004B3953"/>
    <w:rsid w:val="004B55C9"/>
    <w:rsid w:val="004B5CF0"/>
    <w:rsid w:val="004B6991"/>
    <w:rsid w:val="004B6B0F"/>
    <w:rsid w:val="004B762D"/>
    <w:rsid w:val="004B7D3B"/>
    <w:rsid w:val="004B7F54"/>
    <w:rsid w:val="004C0AF9"/>
    <w:rsid w:val="004C15FF"/>
    <w:rsid w:val="004C2567"/>
    <w:rsid w:val="004C304A"/>
    <w:rsid w:val="004C33EA"/>
    <w:rsid w:val="004C3F96"/>
    <w:rsid w:val="004C4DFD"/>
    <w:rsid w:val="004C68EB"/>
    <w:rsid w:val="004D0075"/>
    <w:rsid w:val="004D020E"/>
    <w:rsid w:val="004D139A"/>
    <w:rsid w:val="004D26E9"/>
    <w:rsid w:val="004D2761"/>
    <w:rsid w:val="004D3378"/>
    <w:rsid w:val="004D43CA"/>
    <w:rsid w:val="004D4B38"/>
    <w:rsid w:val="004D4D5D"/>
    <w:rsid w:val="004D52D6"/>
    <w:rsid w:val="004D55A1"/>
    <w:rsid w:val="004D6265"/>
    <w:rsid w:val="004D67CC"/>
    <w:rsid w:val="004D6C21"/>
    <w:rsid w:val="004D72BC"/>
    <w:rsid w:val="004D7D82"/>
    <w:rsid w:val="004E1ECF"/>
    <w:rsid w:val="004E2659"/>
    <w:rsid w:val="004E27A4"/>
    <w:rsid w:val="004E30DF"/>
    <w:rsid w:val="004E33FB"/>
    <w:rsid w:val="004E39EE"/>
    <w:rsid w:val="004E41AF"/>
    <w:rsid w:val="004E49D7"/>
    <w:rsid w:val="004E4A22"/>
    <w:rsid w:val="004E56E0"/>
    <w:rsid w:val="004E62C0"/>
    <w:rsid w:val="004E7329"/>
    <w:rsid w:val="004E73F0"/>
    <w:rsid w:val="004E7673"/>
    <w:rsid w:val="004E7887"/>
    <w:rsid w:val="004F08E1"/>
    <w:rsid w:val="004F0DFB"/>
    <w:rsid w:val="004F2CB0"/>
    <w:rsid w:val="004F36FC"/>
    <w:rsid w:val="004F4139"/>
    <w:rsid w:val="004F5B20"/>
    <w:rsid w:val="004F626F"/>
    <w:rsid w:val="004F699E"/>
    <w:rsid w:val="00501034"/>
    <w:rsid w:val="005017F7"/>
    <w:rsid w:val="00501FA7"/>
    <w:rsid w:val="005036A1"/>
    <w:rsid w:val="005039B6"/>
    <w:rsid w:val="00505266"/>
    <w:rsid w:val="00505BFA"/>
    <w:rsid w:val="005071B4"/>
    <w:rsid w:val="00507D53"/>
    <w:rsid w:val="00510D97"/>
    <w:rsid w:val="005117A9"/>
    <w:rsid w:val="00511B22"/>
    <w:rsid w:val="00511CA3"/>
    <w:rsid w:val="00511F57"/>
    <w:rsid w:val="005131D3"/>
    <w:rsid w:val="00513D84"/>
    <w:rsid w:val="00514BD3"/>
    <w:rsid w:val="005159CA"/>
    <w:rsid w:val="00515CBE"/>
    <w:rsid w:val="00515E2B"/>
    <w:rsid w:val="00516610"/>
    <w:rsid w:val="00517354"/>
    <w:rsid w:val="005173CE"/>
    <w:rsid w:val="00521626"/>
    <w:rsid w:val="00521DDF"/>
    <w:rsid w:val="00521FEE"/>
    <w:rsid w:val="00522A7E"/>
    <w:rsid w:val="00522F20"/>
    <w:rsid w:val="0052319B"/>
    <w:rsid w:val="00524503"/>
    <w:rsid w:val="00524D4F"/>
    <w:rsid w:val="00524E25"/>
    <w:rsid w:val="005259B8"/>
    <w:rsid w:val="00525BA4"/>
    <w:rsid w:val="005273F5"/>
    <w:rsid w:val="0052778C"/>
    <w:rsid w:val="00527A4C"/>
    <w:rsid w:val="00527B2B"/>
    <w:rsid w:val="00527BB1"/>
    <w:rsid w:val="00527D47"/>
    <w:rsid w:val="0053013D"/>
    <w:rsid w:val="00530A2E"/>
    <w:rsid w:val="00530E1D"/>
    <w:rsid w:val="00530FBE"/>
    <w:rsid w:val="005320C6"/>
    <w:rsid w:val="00532ED2"/>
    <w:rsid w:val="005339DB"/>
    <w:rsid w:val="00534C89"/>
    <w:rsid w:val="0053594E"/>
    <w:rsid w:val="00537A83"/>
    <w:rsid w:val="00541573"/>
    <w:rsid w:val="00541D12"/>
    <w:rsid w:val="00541D59"/>
    <w:rsid w:val="0054219B"/>
    <w:rsid w:val="0054348A"/>
    <w:rsid w:val="0054383B"/>
    <w:rsid w:val="00543B2B"/>
    <w:rsid w:val="005443B8"/>
    <w:rsid w:val="005444EF"/>
    <w:rsid w:val="005473A3"/>
    <w:rsid w:val="005475CA"/>
    <w:rsid w:val="005477DF"/>
    <w:rsid w:val="00550DD1"/>
    <w:rsid w:val="00550E5A"/>
    <w:rsid w:val="0055136F"/>
    <w:rsid w:val="005516EA"/>
    <w:rsid w:val="005525C3"/>
    <w:rsid w:val="00555B4F"/>
    <w:rsid w:val="00555E1E"/>
    <w:rsid w:val="00556165"/>
    <w:rsid w:val="00562565"/>
    <w:rsid w:val="00564267"/>
    <w:rsid w:val="005645CD"/>
    <w:rsid w:val="0056479E"/>
    <w:rsid w:val="00564C51"/>
    <w:rsid w:val="00566211"/>
    <w:rsid w:val="00570368"/>
    <w:rsid w:val="00570C0E"/>
    <w:rsid w:val="0057368B"/>
    <w:rsid w:val="00573C03"/>
    <w:rsid w:val="005756DA"/>
    <w:rsid w:val="005760B9"/>
    <w:rsid w:val="00581106"/>
    <w:rsid w:val="005814E2"/>
    <w:rsid w:val="00581542"/>
    <w:rsid w:val="00581FFC"/>
    <w:rsid w:val="00582081"/>
    <w:rsid w:val="00582C98"/>
    <w:rsid w:val="0058315A"/>
    <w:rsid w:val="0058394A"/>
    <w:rsid w:val="00583ECD"/>
    <w:rsid w:val="00584CB8"/>
    <w:rsid w:val="0058519C"/>
    <w:rsid w:val="00585AAF"/>
    <w:rsid w:val="005863DC"/>
    <w:rsid w:val="005863E2"/>
    <w:rsid w:val="005878F1"/>
    <w:rsid w:val="00590079"/>
    <w:rsid w:val="00590761"/>
    <w:rsid w:val="005928AF"/>
    <w:rsid w:val="00593201"/>
    <w:rsid w:val="0059428F"/>
    <w:rsid w:val="005956EE"/>
    <w:rsid w:val="00595B3C"/>
    <w:rsid w:val="005976B1"/>
    <w:rsid w:val="00597E2C"/>
    <w:rsid w:val="005A083E"/>
    <w:rsid w:val="005A0E5E"/>
    <w:rsid w:val="005A28A1"/>
    <w:rsid w:val="005A2AAE"/>
    <w:rsid w:val="005A3355"/>
    <w:rsid w:val="005A4468"/>
    <w:rsid w:val="005A4EA2"/>
    <w:rsid w:val="005A58AF"/>
    <w:rsid w:val="005A74C7"/>
    <w:rsid w:val="005A74E2"/>
    <w:rsid w:val="005A77B4"/>
    <w:rsid w:val="005A7A26"/>
    <w:rsid w:val="005B05A3"/>
    <w:rsid w:val="005B0A97"/>
    <w:rsid w:val="005B145A"/>
    <w:rsid w:val="005B1E43"/>
    <w:rsid w:val="005B44FA"/>
    <w:rsid w:val="005B4F04"/>
    <w:rsid w:val="005B5341"/>
    <w:rsid w:val="005B656A"/>
    <w:rsid w:val="005B73D7"/>
    <w:rsid w:val="005B7590"/>
    <w:rsid w:val="005B7C47"/>
    <w:rsid w:val="005C087C"/>
    <w:rsid w:val="005C135A"/>
    <w:rsid w:val="005C13F0"/>
    <w:rsid w:val="005C1EA6"/>
    <w:rsid w:val="005C20B6"/>
    <w:rsid w:val="005C225D"/>
    <w:rsid w:val="005C2676"/>
    <w:rsid w:val="005C370C"/>
    <w:rsid w:val="005C42A8"/>
    <w:rsid w:val="005C492D"/>
    <w:rsid w:val="005C4B25"/>
    <w:rsid w:val="005C52B4"/>
    <w:rsid w:val="005D0B99"/>
    <w:rsid w:val="005D0D1C"/>
    <w:rsid w:val="005D1735"/>
    <w:rsid w:val="005D190F"/>
    <w:rsid w:val="005D1D58"/>
    <w:rsid w:val="005D308E"/>
    <w:rsid w:val="005D312C"/>
    <w:rsid w:val="005D360F"/>
    <w:rsid w:val="005D3A48"/>
    <w:rsid w:val="005D42F5"/>
    <w:rsid w:val="005D5AC0"/>
    <w:rsid w:val="005D5B9D"/>
    <w:rsid w:val="005D5D06"/>
    <w:rsid w:val="005D6A16"/>
    <w:rsid w:val="005D6BD6"/>
    <w:rsid w:val="005D6E74"/>
    <w:rsid w:val="005D7470"/>
    <w:rsid w:val="005D7D8C"/>
    <w:rsid w:val="005D7E46"/>
    <w:rsid w:val="005E03E5"/>
    <w:rsid w:val="005E0AF4"/>
    <w:rsid w:val="005E1D60"/>
    <w:rsid w:val="005E29E2"/>
    <w:rsid w:val="005E30AE"/>
    <w:rsid w:val="005E4309"/>
    <w:rsid w:val="005E4A45"/>
    <w:rsid w:val="005E4C99"/>
    <w:rsid w:val="005E5C23"/>
    <w:rsid w:val="005E6162"/>
    <w:rsid w:val="005E726D"/>
    <w:rsid w:val="005F006F"/>
    <w:rsid w:val="005F01D0"/>
    <w:rsid w:val="005F07E1"/>
    <w:rsid w:val="005F2145"/>
    <w:rsid w:val="005F25CC"/>
    <w:rsid w:val="005F3925"/>
    <w:rsid w:val="005F4CA1"/>
    <w:rsid w:val="005F57D1"/>
    <w:rsid w:val="00600202"/>
    <w:rsid w:val="00600BA4"/>
    <w:rsid w:val="0060138C"/>
    <w:rsid w:val="006016E1"/>
    <w:rsid w:val="00601E64"/>
    <w:rsid w:val="00602A2E"/>
    <w:rsid w:val="00602D27"/>
    <w:rsid w:val="006078E8"/>
    <w:rsid w:val="00612038"/>
    <w:rsid w:val="006133D7"/>
    <w:rsid w:val="00613625"/>
    <w:rsid w:val="006144A1"/>
    <w:rsid w:val="006145CA"/>
    <w:rsid w:val="006147A7"/>
    <w:rsid w:val="0061543B"/>
    <w:rsid w:val="00616096"/>
    <w:rsid w:val="006160A2"/>
    <w:rsid w:val="0062168F"/>
    <w:rsid w:val="00623A98"/>
    <w:rsid w:val="006246E4"/>
    <w:rsid w:val="00624F0E"/>
    <w:rsid w:val="00626535"/>
    <w:rsid w:val="006278A3"/>
    <w:rsid w:val="006302AA"/>
    <w:rsid w:val="006306E8"/>
    <w:rsid w:val="00630F9C"/>
    <w:rsid w:val="0063121A"/>
    <w:rsid w:val="006319F5"/>
    <w:rsid w:val="00631BFC"/>
    <w:rsid w:val="0063305E"/>
    <w:rsid w:val="006347CD"/>
    <w:rsid w:val="00634D84"/>
    <w:rsid w:val="0063560E"/>
    <w:rsid w:val="00635B33"/>
    <w:rsid w:val="006363BD"/>
    <w:rsid w:val="00637608"/>
    <w:rsid w:val="00640157"/>
    <w:rsid w:val="00640CAC"/>
    <w:rsid w:val="00640D2A"/>
    <w:rsid w:val="006412DC"/>
    <w:rsid w:val="006422EE"/>
    <w:rsid w:val="006437E5"/>
    <w:rsid w:val="0064399B"/>
    <w:rsid w:val="00643ECB"/>
    <w:rsid w:val="00644790"/>
    <w:rsid w:val="00644E62"/>
    <w:rsid w:val="00644EE8"/>
    <w:rsid w:val="006453E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02E"/>
    <w:rsid w:val="00670356"/>
    <w:rsid w:val="00671AD6"/>
    <w:rsid w:val="00671DEB"/>
    <w:rsid w:val="00671FFA"/>
    <w:rsid w:val="00672307"/>
    <w:rsid w:val="00673184"/>
    <w:rsid w:val="00673610"/>
    <w:rsid w:val="006740C9"/>
    <w:rsid w:val="00674CA8"/>
    <w:rsid w:val="00675D22"/>
    <w:rsid w:val="006770A4"/>
    <w:rsid w:val="00680820"/>
    <w:rsid w:val="006808C6"/>
    <w:rsid w:val="00681BD6"/>
    <w:rsid w:val="00682DCF"/>
    <w:rsid w:val="00683A7E"/>
    <w:rsid w:val="0068664B"/>
    <w:rsid w:val="006907F9"/>
    <w:rsid w:val="00691CB5"/>
    <w:rsid w:val="00692A68"/>
    <w:rsid w:val="00692C05"/>
    <w:rsid w:val="0069383C"/>
    <w:rsid w:val="00693A91"/>
    <w:rsid w:val="00695D85"/>
    <w:rsid w:val="00696DB7"/>
    <w:rsid w:val="006972A2"/>
    <w:rsid w:val="0069790A"/>
    <w:rsid w:val="00697AEF"/>
    <w:rsid w:val="00697C81"/>
    <w:rsid w:val="00697F36"/>
    <w:rsid w:val="006A0296"/>
    <w:rsid w:val="006A0521"/>
    <w:rsid w:val="006A2715"/>
    <w:rsid w:val="006A3245"/>
    <w:rsid w:val="006A39DE"/>
    <w:rsid w:val="006A4C8D"/>
    <w:rsid w:val="006A5171"/>
    <w:rsid w:val="006A5871"/>
    <w:rsid w:val="006A66EB"/>
    <w:rsid w:val="006A6C10"/>
    <w:rsid w:val="006A6D23"/>
    <w:rsid w:val="006B012A"/>
    <w:rsid w:val="006B0BFF"/>
    <w:rsid w:val="006B111B"/>
    <w:rsid w:val="006B18C8"/>
    <w:rsid w:val="006B218B"/>
    <w:rsid w:val="006B27AC"/>
    <w:rsid w:val="006B3CAA"/>
    <w:rsid w:val="006B5654"/>
    <w:rsid w:val="006B5B98"/>
    <w:rsid w:val="006B6451"/>
    <w:rsid w:val="006B6AF1"/>
    <w:rsid w:val="006B75A7"/>
    <w:rsid w:val="006C0717"/>
    <w:rsid w:val="006C0A51"/>
    <w:rsid w:val="006C0F8B"/>
    <w:rsid w:val="006C1C3B"/>
    <w:rsid w:val="006C220B"/>
    <w:rsid w:val="006C241D"/>
    <w:rsid w:val="006C37B3"/>
    <w:rsid w:val="006C3BCB"/>
    <w:rsid w:val="006C4315"/>
    <w:rsid w:val="006C4E43"/>
    <w:rsid w:val="006C568E"/>
    <w:rsid w:val="006C5EFA"/>
    <w:rsid w:val="006C62D3"/>
    <w:rsid w:val="006C6435"/>
    <w:rsid w:val="006C643E"/>
    <w:rsid w:val="006C6C94"/>
    <w:rsid w:val="006C7ACB"/>
    <w:rsid w:val="006D01BA"/>
    <w:rsid w:val="006D1AFA"/>
    <w:rsid w:val="006D2779"/>
    <w:rsid w:val="006D34C5"/>
    <w:rsid w:val="006D3671"/>
    <w:rsid w:val="006D470A"/>
    <w:rsid w:val="006D488B"/>
    <w:rsid w:val="006D48B8"/>
    <w:rsid w:val="006D4DDF"/>
    <w:rsid w:val="006D5551"/>
    <w:rsid w:val="006D5659"/>
    <w:rsid w:val="006D6157"/>
    <w:rsid w:val="006D75EE"/>
    <w:rsid w:val="006D7E28"/>
    <w:rsid w:val="006E0193"/>
    <w:rsid w:val="006E0A73"/>
    <w:rsid w:val="006E0FEE"/>
    <w:rsid w:val="006E2F4C"/>
    <w:rsid w:val="006E36B3"/>
    <w:rsid w:val="006E38E9"/>
    <w:rsid w:val="006E4B19"/>
    <w:rsid w:val="006E59F4"/>
    <w:rsid w:val="006E6C11"/>
    <w:rsid w:val="006E7881"/>
    <w:rsid w:val="006E7966"/>
    <w:rsid w:val="006E7FC9"/>
    <w:rsid w:val="006F2B0C"/>
    <w:rsid w:val="006F4CFF"/>
    <w:rsid w:val="006F5564"/>
    <w:rsid w:val="006F5736"/>
    <w:rsid w:val="006F57C6"/>
    <w:rsid w:val="006F74E4"/>
    <w:rsid w:val="006F7C0C"/>
    <w:rsid w:val="006F7CE1"/>
    <w:rsid w:val="0070052A"/>
    <w:rsid w:val="00700755"/>
    <w:rsid w:val="00700954"/>
    <w:rsid w:val="00700CBB"/>
    <w:rsid w:val="007023B9"/>
    <w:rsid w:val="0070268E"/>
    <w:rsid w:val="007027E1"/>
    <w:rsid w:val="0070358F"/>
    <w:rsid w:val="00703A45"/>
    <w:rsid w:val="00703A91"/>
    <w:rsid w:val="00704EFF"/>
    <w:rsid w:val="0070547F"/>
    <w:rsid w:val="00705919"/>
    <w:rsid w:val="00705FCB"/>
    <w:rsid w:val="0070641C"/>
    <w:rsid w:val="0070646B"/>
    <w:rsid w:val="00706764"/>
    <w:rsid w:val="00707960"/>
    <w:rsid w:val="007109CC"/>
    <w:rsid w:val="0071232B"/>
    <w:rsid w:val="007130A2"/>
    <w:rsid w:val="00715463"/>
    <w:rsid w:val="007155AC"/>
    <w:rsid w:val="007159FD"/>
    <w:rsid w:val="00715AC7"/>
    <w:rsid w:val="007167D8"/>
    <w:rsid w:val="00716F54"/>
    <w:rsid w:val="00717593"/>
    <w:rsid w:val="00720991"/>
    <w:rsid w:val="007213B5"/>
    <w:rsid w:val="00721B36"/>
    <w:rsid w:val="00721E1E"/>
    <w:rsid w:val="0072229A"/>
    <w:rsid w:val="00722413"/>
    <w:rsid w:val="0072327C"/>
    <w:rsid w:val="007239BB"/>
    <w:rsid w:val="007243A5"/>
    <w:rsid w:val="007252D9"/>
    <w:rsid w:val="0072641D"/>
    <w:rsid w:val="007278B5"/>
    <w:rsid w:val="00727F0E"/>
    <w:rsid w:val="00727F46"/>
    <w:rsid w:val="00730655"/>
    <w:rsid w:val="00730B69"/>
    <w:rsid w:val="007318A1"/>
    <w:rsid w:val="00731D77"/>
    <w:rsid w:val="00731F9B"/>
    <w:rsid w:val="007322A5"/>
    <w:rsid w:val="00732360"/>
    <w:rsid w:val="00732AD1"/>
    <w:rsid w:val="00733588"/>
    <w:rsid w:val="0073390A"/>
    <w:rsid w:val="00734331"/>
    <w:rsid w:val="00734E64"/>
    <w:rsid w:val="00735013"/>
    <w:rsid w:val="00735BC3"/>
    <w:rsid w:val="00736744"/>
    <w:rsid w:val="00736969"/>
    <w:rsid w:val="00736B37"/>
    <w:rsid w:val="00736F41"/>
    <w:rsid w:val="007375C6"/>
    <w:rsid w:val="00737CE5"/>
    <w:rsid w:val="007402E9"/>
    <w:rsid w:val="00740567"/>
    <w:rsid w:val="0074248C"/>
    <w:rsid w:val="0074340B"/>
    <w:rsid w:val="00743571"/>
    <w:rsid w:val="007439E9"/>
    <w:rsid w:val="00743AC2"/>
    <w:rsid w:val="00743D5D"/>
    <w:rsid w:val="00746160"/>
    <w:rsid w:val="007466D8"/>
    <w:rsid w:val="00746CC9"/>
    <w:rsid w:val="00747A42"/>
    <w:rsid w:val="00750825"/>
    <w:rsid w:val="00750FD8"/>
    <w:rsid w:val="00751001"/>
    <w:rsid w:val="00751012"/>
    <w:rsid w:val="007520B4"/>
    <w:rsid w:val="007530EF"/>
    <w:rsid w:val="00753162"/>
    <w:rsid w:val="00753EC0"/>
    <w:rsid w:val="0075428D"/>
    <w:rsid w:val="00755327"/>
    <w:rsid w:val="007556D0"/>
    <w:rsid w:val="007572AB"/>
    <w:rsid w:val="007574F2"/>
    <w:rsid w:val="007577B0"/>
    <w:rsid w:val="00760721"/>
    <w:rsid w:val="00761367"/>
    <w:rsid w:val="00761F65"/>
    <w:rsid w:val="00761FA8"/>
    <w:rsid w:val="00762143"/>
    <w:rsid w:val="00764142"/>
    <w:rsid w:val="00764C9D"/>
    <w:rsid w:val="00765139"/>
    <w:rsid w:val="00765DE3"/>
    <w:rsid w:val="00770C21"/>
    <w:rsid w:val="00771A25"/>
    <w:rsid w:val="00771C8C"/>
    <w:rsid w:val="00771E9D"/>
    <w:rsid w:val="0077218A"/>
    <w:rsid w:val="00772410"/>
    <w:rsid w:val="00772CE9"/>
    <w:rsid w:val="007737D8"/>
    <w:rsid w:val="0077410D"/>
    <w:rsid w:val="00774B0F"/>
    <w:rsid w:val="007758AC"/>
    <w:rsid w:val="007763C1"/>
    <w:rsid w:val="00777E82"/>
    <w:rsid w:val="00781359"/>
    <w:rsid w:val="007817F6"/>
    <w:rsid w:val="00781C14"/>
    <w:rsid w:val="007821EF"/>
    <w:rsid w:val="00782253"/>
    <w:rsid w:val="00782E7F"/>
    <w:rsid w:val="00783129"/>
    <w:rsid w:val="0078325C"/>
    <w:rsid w:val="00783C23"/>
    <w:rsid w:val="007849FE"/>
    <w:rsid w:val="00785251"/>
    <w:rsid w:val="0078530F"/>
    <w:rsid w:val="00786A10"/>
    <w:rsid w:val="00787237"/>
    <w:rsid w:val="00787374"/>
    <w:rsid w:val="00787FAB"/>
    <w:rsid w:val="0079027E"/>
    <w:rsid w:val="00790C1F"/>
    <w:rsid w:val="00790E31"/>
    <w:rsid w:val="00790F07"/>
    <w:rsid w:val="00790FE1"/>
    <w:rsid w:val="0079126D"/>
    <w:rsid w:val="00791B81"/>
    <w:rsid w:val="00791E2F"/>
    <w:rsid w:val="0079270B"/>
    <w:rsid w:val="00792CD5"/>
    <w:rsid w:val="00794A50"/>
    <w:rsid w:val="007977C8"/>
    <w:rsid w:val="00797C8A"/>
    <w:rsid w:val="007A06D5"/>
    <w:rsid w:val="007A1248"/>
    <w:rsid w:val="007A1DA0"/>
    <w:rsid w:val="007A230B"/>
    <w:rsid w:val="007A2579"/>
    <w:rsid w:val="007A4178"/>
    <w:rsid w:val="007A4180"/>
    <w:rsid w:val="007A4553"/>
    <w:rsid w:val="007A4C3C"/>
    <w:rsid w:val="007A5ACC"/>
    <w:rsid w:val="007A5D37"/>
    <w:rsid w:val="007A5FE3"/>
    <w:rsid w:val="007A6D4E"/>
    <w:rsid w:val="007A6D8E"/>
    <w:rsid w:val="007A79FD"/>
    <w:rsid w:val="007B0B9D"/>
    <w:rsid w:val="007B157E"/>
    <w:rsid w:val="007B1C72"/>
    <w:rsid w:val="007B1F30"/>
    <w:rsid w:val="007B2227"/>
    <w:rsid w:val="007B43D6"/>
    <w:rsid w:val="007B4908"/>
    <w:rsid w:val="007B4E97"/>
    <w:rsid w:val="007B50A8"/>
    <w:rsid w:val="007B5A43"/>
    <w:rsid w:val="007B5B33"/>
    <w:rsid w:val="007B709B"/>
    <w:rsid w:val="007B718C"/>
    <w:rsid w:val="007C1343"/>
    <w:rsid w:val="007C1A61"/>
    <w:rsid w:val="007C1C76"/>
    <w:rsid w:val="007C1E65"/>
    <w:rsid w:val="007C2BAF"/>
    <w:rsid w:val="007C2F07"/>
    <w:rsid w:val="007C3434"/>
    <w:rsid w:val="007C3E81"/>
    <w:rsid w:val="007C4640"/>
    <w:rsid w:val="007C5EF1"/>
    <w:rsid w:val="007C63FC"/>
    <w:rsid w:val="007C68FC"/>
    <w:rsid w:val="007C7BF5"/>
    <w:rsid w:val="007D04A5"/>
    <w:rsid w:val="007D075B"/>
    <w:rsid w:val="007D35BE"/>
    <w:rsid w:val="007D4062"/>
    <w:rsid w:val="007D40C5"/>
    <w:rsid w:val="007D4256"/>
    <w:rsid w:val="007D72E2"/>
    <w:rsid w:val="007D75E5"/>
    <w:rsid w:val="007D773E"/>
    <w:rsid w:val="007D78B2"/>
    <w:rsid w:val="007E066E"/>
    <w:rsid w:val="007E1356"/>
    <w:rsid w:val="007E20FC"/>
    <w:rsid w:val="007E31F8"/>
    <w:rsid w:val="007E355F"/>
    <w:rsid w:val="007E3837"/>
    <w:rsid w:val="007E405B"/>
    <w:rsid w:val="007E4525"/>
    <w:rsid w:val="007E4CD4"/>
    <w:rsid w:val="007E62B0"/>
    <w:rsid w:val="007E7062"/>
    <w:rsid w:val="007E75D2"/>
    <w:rsid w:val="007F03F9"/>
    <w:rsid w:val="007F0E1E"/>
    <w:rsid w:val="007F1B87"/>
    <w:rsid w:val="007F286A"/>
    <w:rsid w:val="007F29A7"/>
    <w:rsid w:val="007F2A80"/>
    <w:rsid w:val="007F2D47"/>
    <w:rsid w:val="007F2DCB"/>
    <w:rsid w:val="007F31CD"/>
    <w:rsid w:val="007F34D6"/>
    <w:rsid w:val="007F409E"/>
    <w:rsid w:val="007F5215"/>
    <w:rsid w:val="007F5692"/>
    <w:rsid w:val="007F5987"/>
    <w:rsid w:val="007F5FB0"/>
    <w:rsid w:val="007F6658"/>
    <w:rsid w:val="007F7D3E"/>
    <w:rsid w:val="007F7E58"/>
    <w:rsid w:val="00800891"/>
    <w:rsid w:val="0080112E"/>
    <w:rsid w:val="008019B9"/>
    <w:rsid w:val="008021CD"/>
    <w:rsid w:val="00802CBD"/>
    <w:rsid w:val="00803440"/>
    <w:rsid w:val="00803915"/>
    <w:rsid w:val="008041A4"/>
    <w:rsid w:val="008051D1"/>
    <w:rsid w:val="00807D5D"/>
    <w:rsid w:val="0081048D"/>
    <w:rsid w:val="00810601"/>
    <w:rsid w:val="00811D8C"/>
    <w:rsid w:val="0081383B"/>
    <w:rsid w:val="00813856"/>
    <w:rsid w:val="00813E3A"/>
    <w:rsid w:val="008145E5"/>
    <w:rsid w:val="00814F40"/>
    <w:rsid w:val="008154E6"/>
    <w:rsid w:val="00815EC1"/>
    <w:rsid w:val="00816078"/>
    <w:rsid w:val="008171F3"/>
    <w:rsid w:val="008173EF"/>
    <w:rsid w:val="008177E3"/>
    <w:rsid w:val="00817F4B"/>
    <w:rsid w:val="00820415"/>
    <w:rsid w:val="008204F7"/>
    <w:rsid w:val="008218A7"/>
    <w:rsid w:val="00821DDF"/>
    <w:rsid w:val="008232F5"/>
    <w:rsid w:val="00823AA9"/>
    <w:rsid w:val="00824243"/>
    <w:rsid w:val="00825C66"/>
    <w:rsid w:val="00825CD8"/>
    <w:rsid w:val="0082723A"/>
    <w:rsid w:val="00827324"/>
    <w:rsid w:val="0083023B"/>
    <w:rsid w:val="00830598"/>
    <w:rsid w:val="008309D9"/>
    <w:rsid w:val="00831632"/>
    <w:rsid w:val="00831CC5"/>
    <w:rsid w:val="00834D32"/>
    <w:rsid w:val="0083589A"/>
    <w:rsid w:val="00835DDE"/>
    <w:rsid w:val="00836565"/>
    <w:rsid w:val="00836603"/>
    <w:rsid w:val="00836751"/>
    <w:rsid w:val="00836AD4"/>
    <w:rsid w:val="00837AAE"/>
    <w:rsid w:val="00841291"/>
    <w:rsid w:val="008412D3"/>
    <w:rsid w:val="008428E7"/>
    <w:rsid w:val="008429AD"/>
    <w:rsid w:val="00843C84"/>
    <w:rsid w:val="00843D8E"/>
    <w:rsid w:val="00843FAD"/>
    <w:rsid w:val="008443C0"/>
    <w:rsid w:val="00844674"/>
    <w:rsid w:val="00844D53"/>
    <w:rsid w:val="00845DD5"/>
    <w:rsid w:val="00850292"/>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57F8F"/>
    <w:rsid w:val="0086027E"/>
    <w:rsid w:val="0086047E"/>
    <w:rsid w:val="0086060E"/>
    <w:rsid w:val="00860801"/>
    <w:rsid w:val="0086122F"/>
    <w:rsid w:val="008618FD"/>
    <w:rsid w:val="00862089"/>
    <w:rsid w:val="008630D8"/>
    <w:rsid w:val="00863312"/>
    <w:rsid w:val="00863A8A"/>
    <w:rsid w:val="00863A9E"/>
    <w:rsid w:val="00866843"/>
    <w:rsid w:val="00866D5B"/>
    <w:rsid w:val="00866D97"/>
    <w:rsid w:val="00866FF5"/>
    <w:rsid w:val="008675CA"/>
    <w:rsid w:val="00867909"/>
    <w:rsid w:val="00870BA4"/>
    <w:rsid w:val="00871923"/>
    <w:rsid w:val="00871E3E"/>
    <w:rsid w:val="008722A5"/>
    <w:rsid w:val="00872F5A"/>
    <w:rsid w:val="0087313E"/>
    <w:rsid w:val="00873535"/>
    <w:rsid w:val="008738A4"/>
    <w:rsid w:val="00873E1F"/>
    <w:rsid w:val="008740B8"/>
    <w:rsid w:val="00874140"/>
    <w:rsid w:val="0087450B"/>
    <w:rsid w:val="00874C16"/>
    <w:rsid w:val="00874FE2"/>
    <w:rsid w:val="0087537B"/>
    <w:rsid w:val="00876825"/>
    <w:rsid w:val="00877D2F"/>
    <w:rsid w:val="00880264"/>
    <w:rsid w:val="00882F62"/>
    <w:rsid w:val="00883100"/>
    <w:rsid w:val="00883D9C"/>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BB4"/>
    <w:rsid w:val="00896D5A"/>
    <w:rsid w:val="00897C8A"/>
    <w:rsid w:val="008A1013"/>
    <w:rsid w:val="008A19E0"/>
    <w:rsid w:val="008A1FBE"/>
    <w:rsid w:val="008A31AD"/>
    <w:rsid w:val="008A31C8"/>
    <w:rsid w:val="008A4046"/>
    <w:rsid w:val="008A4EE9"/>
    <w:rsid w:val="008B2961"/>
    <w:rsid w:val="008B2E60"/>
    <w:rsid w:val="008B50FA"/>
    <w:rsid w:val="008B5AE7"/>
    <w:rsid w:val="008B5CB5"/>
    <w:rsid w:val="008B5DB5"/>
    <w:rsid w:val="008B789A"/>
    <w:rsid w:val="008B7CFD"/>
    <w:rsid w:val="008C0B2D"/>
    <w:rsid w:val="008C0CD8"/>
    <w:rsid w:val="008C0F35"/>
    <w:rsid w:val="008C15B1"/>
    <w:rsid w:val="008C184A"/>
    <w:rsid w:val="008C2EF2"/>
    <w:rsid w:val="008C31D7"/>
    <w:rsid w:val="008C3D84"/>
    <w:rsid w:val="008C4A05"/>
    <w:rsid w:val="008C4DA7"/>
    <w:rsid w:val="008C5790"/>
    <w:rsid w:val="008C60E9"/>
    <w:rsid w:val="008C6DDE"/>
    <w:rsid w:val="008D0A52"/>
    <w:rsid w:val="008D1B7C"/>
    <w:rsid w:val="008D225A"/>
    <w:rsid w:val="008D3E70"/>
    <w:rsid w:val="008D482A"/>
    <w:rsid w:val="008D4D7C"/>
    <w:rsid w:val="008D5476"/>
    <w:rsid w:val="008D619F"/>
    <w:rsid w:val="008D6657"/>
    <w:rsid w:val="008D6BBD"/>
    <w:rsid w:val="008D72B6"/>
    <w:rsid w:val="008E0362"/>
    <w:rsid w:val="008E0733"/>
    <w:rsid w:val="008E10A4"/>
    <w:rsid w:val="008E17F5"/>
    <w:rsid w:val="008E1F60"/>
    <w:rsid w:val="008E24E9"/>
    <w:rsid w:val="008E307E"/>
    <w:rsid w:val="008E3700"/>
    <w:rsid w:val="008E4309"/>
    <w:rsid w:val="008E45B4"/>
    <w:rsid w:val="008E4C82"/>
    <w:rsid w:val="008E6076"/>
    <w:rsid w:val="008E63CD"/>
    <w:rsid w:val="008E6483"/>
    <w:rsid w:val="008F18FD"/>
    <w:rsid w:val="008F1F17"/>
    <w:rsid w:val="008F27BD"/>
    <w:rsid w:val="008F2829"/>
    <w:rsid w:val="008F299B"/>
    <w:rsid w:val="008F2A72"/>
    <w:rsid w:val="008F2EEE"/>
    <w:rsid w:val="008F3138"/>
    <w:rsid w:val="008F3CD2"/>
    <w:rsid w:val="008F4C2F"/>
    <w:rsid w:val="008F4D02"/>
    <w:rsid w:val="008F544F"/>
    <w:rsid w:val="008F6056"/>
    <w:rsid w:val="008F6521"/>
    <w:rsid w:val="008F6EF3"/>
    <w:rsid w:val="008F7F71"/>
    <w:rsid w:val="00901719"/>
    <w:rsid w:val="00901DD0"/>
    <w:rsid w:val="009022E8"/>
    <w:rsid w:val="0090273B"/>
    <w:rsid w:val="00902C07"/>
    <w:rsid w:val="00905652"/>
    <w:rsid w:val="00905804"/>
    <w:rsid w:val="00905A60"/>
    <w:rsid w:val="0090796D"/>
    <w:rsid w:val="009101E2"/>
    <w:rsid w:val="00910A49"/>
    <w:rsid w:val="009110BA"/>
    <w:rsid w:val="00911C55"/>
    <w:rsid w:val="00912303"/>
    <w:rsid w:val="009128E8"/>
    <w:rsid w:val="00913531"/>
    <w:rsid w:val="009149B2"/>
    <w:rsid w:val="00914B09"/>
    <w:rsid w:val="00914B63"/>
    <w:rsid w:val="0091520C"/>
    <w:rsid w:val="00915D73"/>
    <w:rsid w:val="0091605E"/>
    <w:rsid w:val="00916077"/>
    <w:rsid w:val="009170A2"/>
    <w:rsid w:val="0091727C"/>
    <w:rsid w:val="009208A6"/>
    <w:rsid w:val="00921369"/>
    <w:rsid w:val="00921562"/>
    <w:rsid w:val="009222D8"/>
    <w:rsid w:val="00923E35"/>
    <w:rsid w:val="00924217"/>
    <w:rsid w:val="00924514"/>
    <w:rsid w:val="00924D12"/>
    <w:rsid w:val="009256D1"/>
    <w:rsid w:val="009269B8"/>
    <w:rsid w:val="00926C37"/>
    <w:rsid w:val="00927316"/>
    <w:rsid w:val="00927C5A"/>
    <w:rsid w:val="00931B8C"/>
    <w:rsid w:val="00932B8B"/>
    <w:rsid w:val="009331BD"/>
    <w:rsid w:val="00933D12"/>
    <w:rsid w:val="009341CE"/>
    <w:rsid w:val="0093443A"/>
    <w:rsid w:val="009350F4"/>
    <w:rsid w:val="00935414"/>
    <w:rsid w:val="00935B00"/>
    <w:rsid w:val="00937065"/>
    <w:rsid w:val="009372C6"/>
    <w:rsid w:val="00940285"/>
    <w:rsid w:val="009403F3"/>
    <w:rsid w:val="00940571"/>
    <w:rsid w:val="00940F66"/>
    <w:rsid w:val="009410D5"/>
    <w:rsid w:val="0094483E"/>
    <w:rsid w:val="00944EF4"/>
    <w:rsid w:val="0094507C"/>
    <w:rsid w:val="00946425"/>
    <w:rsid w:val="00947484"/>
    <w:rsid w:val="00947E7E"/>
    <w:rsid w:val="00950254"/>
    <w:rsid w:val="0095139A"/>
    <w:rsid w:val="009536F4"/>
    <w:rsid w:val="00953E16"/>
    <w:rsid w:val="009542AC"/>
    <w:rsid w:val="00955C0A"/>
    <w:rsid w:val="00956518"/>
    <w:rsid w:val="009567AB"/>
    <w:rsid w:val="009569A8"/>
    <w:rsid w:val="00957066"/>
    <w:rsid w:val="00957239"/>
    <w:rsid w:val="009638D6"/>
    <w:rsid w:val="00964073"/>
    <w:rsid w:val="0096450F"/>
    <w:rsid w:val="009645F9"/>
    <w:rsid w:val="00966181"/>
    <w:rsid w:val="00966194"/>
    <w:rsid w:val="009664CA"/>
    <w:rsid w:val="00966CA9"/>
    <w:rsid w:val="0096769E"/>
    <w:rsid w:val="00967D1B"/>
    <w:rsid w:val="00967D26"/>
    <w:rsid w:val="00967EA8"/>
    <w:rsid w:val="00967F36"/>
    <w:rsid w:val="009723B4"/>
    <w:rsid w:val="009728FA"/>
    <w:rsid w:val="0097408E"/>
    <w:rsid w:val="00974AC3"/>
    <w:rsid w:val="00974BB2"/>
    <w:rsid w:val="00974FA7"/>
    <w:rsid w:val="009756E5"/>
    <w:rsid w:val="009770B7"/>
    <w:rsid w:val="00977A8C"/>
    <w:rsid w:val="009802F2"/>
    <w:rsid w:val="00980611"/>
    <w:rsid w:val="009817F0"/>
    <w:rsid w:val="00981BDA"/>
    <w:rsid w:val="009825A4"/>
    <w:rsid w:val="00983910"/>
    <w:rsid w:val="00983BAF"/>
    <w:rsid w:val="00983D09"/>
    <w:rsid w:val="00984B0D"/>
    <w:rsid w:val="009863A5"/>
    <w:rsid w:val="00986DAB"/>
    <w:rsid w:val="009871F8"/>
    <w:rsid w:val="0098755F"/>
    <w:rsid w:val="0098771B"/>
    <w:rsid w:val="00987C8E"/>
    <w:rsid w:val="0099046D"/>
    <w:rsid w:val="009932AC"/>
    <w:rsid w:val="0099681F"/>
    <w:rsid w:val="00996B71"/>
    <w:rsid w:val="009A1131"/>
    <w:rsid w:val="009A1DBF"/>
    <w:rsid w:val="009A1E16"/>
    <w:rsid w:val="009A231B"/>
    <w:rsid w:val="009A2755"/>
    <w:rsid w:val="009A3618"/>
    <w:rsid w:val="009A3757"/>
    <w:rsid w:val="009A3B3C"/>
    <w:rsid w:val="009A4AFA"/>
    <w:rsid w:val="009A68E6"/>
    <w:rsid w:val="009A7598"/>
    <w:rsid w:val="009A7F29"/>
    <w:rsid w:val="009B0033"/>
    <w:rsid w:val="009B06C4"/>
    <w:rsid w:val="009B0E95"/>
    <w:rsid w:val="009B144A"/>
    <w:rsid w:val="009B1D10"/>
    <w:rsid w:val="009B1DF8"/>
    <w:rsid w:val="009B3D20"/>
    <w:rsid w:val="009B43B5"/>
    <w:rsid w:val="009B53EB"/>
    <w:rsid w:val="009B5418"/>
    <w:rsid w:val="009B6531"/>
    <w:rsid w:val="009B6875"/>
    <w:rsid w:val="009B699F"/>
    <w:rsid w:val="009B7197"/>
    <w:rsid w:val="009B7212"/>
    <w:rsid w:val="009C01F4"/>
    <w:rsid w:val="009C029E"/>
    <w:rsid w:val="009C0727"/>
    <w:rsid w:val="009C08B5"/>
    <w:rsid w:val="009C1030"/>
    <w:rsid w:val="009C308E"/>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4D7"/>
    <w:rsid w:val="009E375F"/>
    <w:rsid w:val="009E40F4"/>
    <w:rsid w:val="009E5401"/>
    <w:rsid w:val="009E6A9F"/>
    <w:rsid w:val="009F1207"/>
    <w:rsid w:val="009F2DB0"/>
    <w:rsid w:val="009F30F4"/>
    <w:rsid w:val="009F380F"/>
    <w:rsid w:val="009F50BD"/>
    <w:rsid w:val="009F61A7"/>
    <w:rsid w:val="009F7ED2"/>
    <w:rsid w:val="00A00175"/>
    <w:rsid w:val="00A00BC1"/>
    <w:rsid w:val="00A01DB7"/>
    <w:rsid w:val="00A02099"/>
    <w:rsid w:val="00A02BAE"/>
    <w:rsid w:val="00A02D3C"/>
    <w:rsid w:val="00A03381"/>
    <w:rsid w:val="00A0391E"/>
    <w:rsid w:val="00A04782"/>
    <w:rsid w:val="00A05071"/>
    <w:rsid w:val="00A05B26"/>
    <w:rsid w:val="00A05F71"/>
    <w:rsid w:val="00A06743"/>
    <w:rsid w:val="00A0758F"/>
    <w:rsid w:val="00A07A22"/>
    <w:rsid w:val="00A07BCD"/>
    <w:rsid w:val="00A1033E"/>
    <w:rsid w:val="00A10439"/>
    <w:rsid w:val="00A118FA"/>
    <w:rsid w:val="00A11CE7"/>
    <w:rsid w:val="00A11DE1"/>
    <w:rsid w:val="00A11E3B"/>
    <w:rsid w:val="00A12688"/>
    <w:rsid w:val="00A13468"/>
    <w:rsid w:val="00A13505"/>
    <w:rsid w:val="00A13841"/>
    <w:rsid w:val="00A1570A"/>
    <w:rsid w:val="00A15C6E"/>
    <w:rsid w:val="00A15C98"/>
    <w:rsid w:val="00A16D81"/>
    <w:rsid w:val="00A211B4"/>
    <w:rsid w:val="00A211F9"/>
    <w:rsid w:val="00A2150C"/>
    <w:rsid w:val="00A21929"/>
    <w:rsid w:val="00A23EFD"/>
    <w:rsid w:val="00A24FD6"/>
    <w:rsid w:val="00A269D6"/>
    <w:rsid w:val="00A26CA6"/>
    <w:rsid w:val="00A2734D"/>
    <w:rsid w:val="00A273F2"/>
    <w:rsid w:val="00A306BD"/>
    <w:rsid w:val="00A318F8"/>
    <w:rsid w:val="00A325D8"/>
    <w:rsid w:val="00A326F4"/>
    <w:rsid w:val="00A33B4F"/>
    <w:rsid w:val="00A33DDF"/>
    <w:rsid w:val="00A3423E"/>
    <w:rsid w:val="00A34547"/>
    <w:rsid w:val="00A362D9"/>
    <w:rsid w:val="00A362DE"/>
    <w:rsid w:val="00A376B7"/>
    <w:rsid w:val="00A4035F"/>
    <w:rsid w:val="00A405FE"/>
    <w:rsid w:val="00A41BF5"/>
    <w:rsid w:val="00A42A0E"/>
    <w:rsid w:val="00A434AD"/>
    <w:rsid w:val="00A43F09"/>
    <w:rsid w:val="00A43F6C"/>
    <w:rsid w:val="00A44BEE"/>
    <w:rsid w:val="00A46683"/>
    <w:rsid w:val="00A46772"/>
    <w:rsid w:val="00A469E7"/>
    <w:rsid w:val="00A46F47"/>
    <w:rsid w:val="00A503DB"/>
    <w:rsid w:val="00A50E5B"/>
    <w:rsid w:val="00A5113D"/>
    <w:rsid w:val="00A51537"/>
    <w:rsid w:val="00A517D0"/>
    <w:rsid w:val="00A52133"/>
    <w:rsid w:val="00A53A09"/>
    <w:rsid w:val="00A548ED"/>
    <w:rsid w:val="00A54C75"/>
    <w:rsid w:val="00A56596"/>
    <w:rsid w:val="00A5714C"/>
    <w:rsid w:val="00A5773B"/>
    <w:rsid w:val="00A604A4"/>
    <w:rsid w:val="00A604B8"/>
    <w:rsid w:val="00A61216"/>
    <w:rsid w:val="00A639B0"/>
    <w:rsid w:val="00A63C01"/>
    <w:rsid w:val="00A64004"/>
    <w:rsid w:val="00A64139"/>
    <w:rsid w:val="00A64628"/>
    <w:rsid w:val="00A64A13"/>
    <w:rsid w:val="00A655A9"/>
    <w:rsid w:val="00A6605B"/>
    <w:rsid w:val="00A66ADC"/>
    <w:rsid w:val="00A7056C"/>
    <w:rsid w:val="00A70639"/>
    <w:rsid w:val="00A70A50"/>
    <w:rsid w:val="00A7118B"/>
    <w:rsid w:val="00A71283"/>
    <w:rsid w:val="00A7147D"/>
    <w:rsid w:val="00A724EC"/>
    <w:rsid w:val="00A72560"/>
    <w:rsid w:val="00A72612"/>
    <w:rsid w:val="00A74549"/>
    <w:rsid w:val="00A745FA"/>
    <w:rsid w:val="00A759AB"/>
    <w:rsid w:val="00A778B8"/>
    <w:rsid w:val="00A779D3"/>
    <w:rsid w:val="00A77CC7"/>
    <w:rsid w:val="00A812CF"/>
    <w:rsid w:val="00A81B15"/>
    <w:rsid w:val="00A8272E"/>
    <w:rsid w:val="00A82C0D"/>
    <w:rsid w:val="00A837FF"/>
    <w:rsid w:val="00A846DF"/>
    <w:rsid w:val="00A84BFE"/>
    <w:rsid w:val="00A84DC8"/>
    <w:rsid w:val="00A85BA5"/>
    <w:rsid w:val="00A85DBC"/>
    <w:rsid w:val="00A871F9"/>
    <w:rsid w:val="00A87A87"/>
    <w:rsid w:val="00A87FEB"/>
    <w:rsid w:val="00A90F7B"/>
    <w:rsid w:val="00A91A60"/>
    <w:rsid w:val="00A92EE5"/>
    <w:rsid w:val="00A93C6D"/>
    <w:rsid w:val="00A93F9F"/>
    <w:rsid w:val="00A9420E"/>
    <w:rsid w:val="00A94487"/>
    <w:rsid w:val="00A97648"/>
    <w:rsid w:val="00A9768C"/>
    <w:rsid w:val="00AA0487"/>
    <w:rsid w:val="00AA127B"/>
    <w:rsid w:val="00AA1CFD"/>
    <w:rsid w:val="00AA2239"/>
    <w:rsid w:val="00AA33D2"/>
    <w:rsid w:val="00AA34ED"/>
    <w:rsid w:val="00AA3706"/>
    <w:rsid w:val="00AA4287"/>
    <w:rsid w:val="00AA4DD7"/>
    <w:rsid w:val="00AA5217"/>
    <w:rsid w:val="00AA5897"/>
    <w:rsid w:val="00AA5AC6"/>
    <w:rsid w:val="00AA5BED"/>
    <w:rsid w:val="00AA646D"/>
    <w:rsid w:val="00AA72BB"/>
    <w:rsid w:val="00AA7738"/>
    <w:rsid w:val="00AA7883"/>
    <w:rsid w:val="00AB0719"/>
    <w:rsid w:val="00AB0C57"/>
    <w:rsid w:val="00AB1195"/>
    <w:rsid w:val="00AB1374"/>
    <w:rsid w:val="00AB167A"/>
    <w:rsid w:val="00AB16CA"/>
    <w:rsid w:val="00AB2A32"/>
    <w:rsid w:val="00AB4182"/>
    <w:rsid w:val="00AB4210"/>
    <w:rsid w:val="00AB462C"/>
    <w:rsid w:val="00AB4653"/>
    <w:rsid w:val="00AB5793"/>
    <w:rsid w:val="00AB5BCA"/>
    <w:rsid w:val="00AB6423"/>
    <w:rsid w:val="00AB79B8"/>
    <w:rsid w:val="00AB7BEA"/>
    <w:rsid w:val="00AC1202"/>
    <w:rsid w:val="00AC1E37"/>
    <w:rsid w:val="00AC27DB"/>
    <w:rsid w:val="00AC3CB9"/>
    <w:rsid w:val="00AC4D98"/>
    <w:rsid w:val="00AC5201"/>
    <w:rsid w:val="00AC6D6B"/>
    <w:rsid w:val="00AD0353"/>
    <w:rsid w:val="00AD1085"/>
    <w:rsid w:val="00AD1AC6"/>
    <w:rsid w:val="00AD1BDC"/>
    <w:rsid w:val="00AD1DBD"/>
    <w:rsid w:val="00AD21F0"/>
    <w:rsid w:val="00AD2A00"/>
    <w:rsid w:val="00AD3BD4"/>
    <w:rsid w:val="00AD3FB9"/>
    <w:rsid w:val="00AD47A8"/>
    <w:rsid w:val="00AD6941"/>
    <w:rsid w:val="00AD7736"/>
    <w:rsid w:val="00AD785D"/>
    <w:rsid w:val="00AE1D5F"/>
    <w:rsid w:val="00AE2B50"/>
    <w:rsid w:val="00AE3BB9"/>
    <w:rsid w:val="00AE4E81"/>
    <w:rsid w:val="00AE4ED8"/>
    <w:rsid w:val="00AE5C90"/>
    <w:rsid w:val="00AE6149"/>
    <w:rsid w:val="00AE70D4"/>
    <w:rsid w:val="00AE7684"/>
    <w:rsid w:val="00AE7868"/>
    <w:rsid w:val="00AE7894"/>
    <w:rsid w:val="00AF0407"/>
    <w:rsid w:val="00AF1AAE"/>
    <w:rsid w:val="00AF1DFE"/>
    <w:rsid w:val="00AF217C"/>
    <w:rsid w:val="00AF2EA8"/>
    <w:rsid w:val="00AF2F77"/>
    <w:rsid w:val="00AF30F5"/>
    <w:rsid w:val="00AF3204"/>
    <w:rsid w:val="00AF3F19"/>
    <w:rsid w:val="00AF4DAB"/>
    <w:rsid w:val="00AF6015"/>
    <w:rsid w:val="00AF759B"/>
    <w:rsid w:val="00B00012"/>
    <w:rsid w:val="00B00117"/>
    <w:rsid w:val="00B0081A"/>
    <w:rsid w:val="00B00EDA"/>
    <w:rsid w:val="00B01494"/>
    <w:rsid w:val="00B02FD3"/>
    <w:rsid w:val="00B033A9"/>
    <w:rsid w:val="00B03758"/>
    <w:rsid w:val="00B039B5"/>
    <w:rsid w:val="00B046C1"/>
    <w:rsid w:val="00B04A95"/>
    <w:rsid w:val="00B0508E"/>
    <w:rsid w:val="00B064E7"/>
    <w:rsid w:val="00B0657D"/>
    <w:rsid w:val="00B072AB"/>
    <w:rsid w:val="00B0752F"/>
    <w:rsid w:val="00B1071A"/>
    <w:rsid w:val="00B116C9"/>
    <w:rsid w:val="00B1183F"/>
    <w:rsid w:val="00B12639"/>
    <w:rsid w:val="00B139EA"/>
    <w:rsid w:val="00B1516C"/>
    <w:rsid w:val="00B163F8"/>
    <w:rsid w:val="00B177D4"/>
    <w:rsid w:val="00B17C7B"/>
    <w:rsid w:val="00B17E5F"/>
    <w:rsid w:val="00B17F9F"/>
    <w:rsid w:val="00B215DB"/>
    <w:rsid w:val="00B21700"/>
    <w:rsid w:val="00B22ADD"/>
    <w:rsid w:val="00B2472D"/>
    <w:rsid w:val="00B2549F"/>
    <w:rsid w:val="00B266D5"/>
    <w:rsid w:val="00B267DD"/>
    <w:rsid w:val="00B33041"/>
    <w:rsid w:val="00B353F5"/>
    <w:rsid w:val="00B36DD9"/>
    <w:rsid w:val="00B372EF"/>
    <w:rsid w:val="00B400A8"/>
    <w:rsid w:val="00B40EBF"/>
    <w:rsid w:val="00B42A45"/>
    <w:rsid w:val="00B42E37"/>
    <w:rsid w:val="00B43E90"/>
    <w:rsid w:val="00B44132"/>
    <w:rsid w:val="00B4593F"/>
    <w:rsid w:val="00B46DAB"/>
    <w:rsid w:val="00B51652"/>
    <w:rsid w:val="00B536E2"/>
    <w:rsid w:val="00B5416B"/>
    <w:rsid w:val="00B558D9"/>
    <w:rsid w:val="00B57265"/>
    <w:rsid w:val="00B573B0"/>
    <w:rsid w:val="00B61CEE"/>
    <w:rsid w:val="00B621BF"/>
    <w:rsid w:val="00B62432"/>
    <w:rsid w:val="00B633AE"/>
    <w:rsid w:val="00B63FFC"/>
    <w:rsid w:val="00B65009"/>
    <w:rsid w:val="00B661F1"/>
    <w:rsid w:val="00B665D2"/>
    <w:rsid w:val="00B66841"/>
    <w:rsid w:val="00B66D79"/>
    <w:rsid w:val="00B6737C"/>
    <w:rsid w:val="00B67EE7"/>
    <w:rsid w:val="00B70B36"/>
    <w:rsid w:val="00B70F1F"/>
    <w:rsid w:val="00B715E1"/>
    <w:rsid w:val="00B7214D"/>
    <w:rsid w:val="00B735BC"/>
    <w:rsid w:val="00B73E87"/>
    <w:rsid w:val="00B73E95"/>
    <w:rsid w:val="00B73FE8"/>
    <w:rsid w:val="00B74372"/>
    <w:rsid w:val="00B75974"/>
    <w:rsid w:val="00B75EB3"/>
    <w:rsid w:val="00B76E04"/>
    <w:rsid w:val="00B77148"/>
    <w:rsid w:val="00B7757B"/>
    <w:rsid w:val="00B77AAE"/>
    <w:rsid w:val="00B77F06"/>
    <w:rsid w:val="00B80283"/>
    <w:rsid w:val="00B8095F"/>
    <w:rsid w:val="00B80B0C"/>
    <w:rsid w:val="00B80B11"/>
    <w:rsid w:val="00B81126"/>
    <w:rsid w:val="00B82399"/>
    <w:rsid w:val="00B83372"/>
    <w:rsid w:val="00B835E4"/>
    <w:rsid w:val="00B83AA7"/>
    <w:rsid w:val="00B8446C"/>
    <w:rsid w:val="00B84AEF"/>
    <w:rsid w:val="00B857FF"/>
    <w:rsid w:val="00B8664A"/>
    <w:rsid w:val="00B871CD"/>
    <w:rsid w:val="00B87725"/>
    <w:rsid w:val="00B90552"/>
    <w:rsid w:val="00B910BA"/>
    <w:rsid w:val="00B91D6A"/>
    <w:rsid w:val="00B92D0D"/>
    <w:rsid w:val="00B9318D"/>
    <w:rsid w:val="00B93302"/>
    <w:rsid w:val="00B93933"/>
    <w:rsid w:val="00B93EE3"/>
    <w:rsid w:val="00B94FE3"/>
    <w:rsid w:val="00B9533D"/>
    <w:rsid w:val="00B95548"/>
    <w:rsid w:val="00B97504"/>
    <w:rsid w:val="00B97FF2"/>
    <w:rsid w:val="00BA11E2"/>
    <w:rsid w:val="00BA1957"/>
    <w:rsid w:val="00BA259A"/>
    <w:rsid w:val="00BA259C"/>
    <w:rsid w:val="00BA29D3"/>
    <w:rsid w:val="00BA2AB8"/>
    <w:rsid w:val="00BA2D84"/>
    <w:rsid w:val="00BA307F"/>
    <w:rsid w:val="00BA3210"/>
    <w:rsid w:val="00BA45F7"/>
    <w:rsid w:val="00BA5280"/>
    <w:rsid w:val="00BA54B1"/>
    <w:rsid w:val="00BA6086"/>
    <w:rsid w:val="00BA757A"/>
    <w:rsid w:val="00BB0946"/>
    <w:rsid w:val="00BB0FDE"/>
    <w:rsid w:val="00BB122B"/>
    <w:rsid w:val="00BB14F1"/>
    <w:rsid w:val="00BB1791"/>
    <w:rsid w:val="00BB19EA"/>
    <w:rsid w:val="00BB286F"/>
    <w:rsid w:val="00BB2BAB"/>
    <w:rsid w:val="00BB5645"/>
    <w:rsid w:val="00BB572E"/>
    <w:rsid w:val="00BB74FD"/>
    <w:rsid w:val="00BB7EE1"/>
    <w:rsid w:val="00BC1696"/>
    <w:rsid w:val="00BC31AC"/>
    <w:rsid w:val="00BC38C3"/>
    <w:rsid w:val="00BC3BFA"/>
    <w:rsid w:val="00BC3E04"/>
    <w:rsid w:val="00BC4A04"/>
    <w:rsid w:val="00BC4CD1"/>
    <w:rsid w:val="00BC5982"/>
    <w:rsid w:val="00BC64C6"/>
    <w:rsid w:val="00BC6840"/>
    <w:rsid w:val="00BC6966"/>
    <w:rsid w:val="00BC7CA2"/>
    <w:rsid w:val="00BD07BD"/>
    <w:rsid w:val="00BD0DA5"/>
    <w:rsid w:val="00BD0FDA"/>
    <w:rsid w:val="00BD2F0A"/>
    <w:rsid w:val="00BD43FC"/>
    <w:rsid w:val="00BD4E6B"/>
    <w:rsid w:val="00BD6404"/>
    <w:rsid w:val="00BD7235"/>
    <w:rsid w:val="00BE079B"/>
    <w:rsid w:val="00BE178E"/>
    <w:rsid w:val="00BE181D"/>
    <w:rsid w:val="00BE2412"/>
    <w:rsid w:val="00BE2EF8"/>
    <w:rsid w:val="00BE33AE"/>
    <w:rsid w:val="00BE49E6"/>
    <w:rsid w:val="00BE55BD"/>
    <w:rsid w:val="00BE5766"/>
    <w:rsid w:val="00BE6686"/>
    <w:rsid w:val="00BE6F0C"/>
    <w:rsid w:val="00BE7D9E"/>
    <w:rsid w:val="00BF0114"/>
    <w:rsid w:val="00BF046F"/>
    <w:rsid w:val="00BF12BD"/>
    <w:rsid w:val="00BF4238"/>
    <w:rsid w:val="00BF5743"/>
    <w:rsid w:val="00BF651E"/>
    <w:rsid w:val="00BF6DC6"/>
    <w:rsid w:val="00BF6E31"/>
    <w:rsid w:val="00BF6FE4"/>
    <w:rsid w:val="00C01268"/>
    <w:rsid w:val="00C019D0"/>
    <w:rsid w:val="00C019F0"/>
    <w:rsid w:val="00C01A83"/>
    <w:rsid w:val="00C01D50"/>
    <w:rsid w:val="00C02E7B"/>
    <w:rsid w:val="00C042EA"/>
    <w:rsid w:val="00C04D4C"/>
    <w:rsid w:val="00C052BE"/>
    <w:rsid w:val="00C0537C"/>
    <w:rsid w:val="00C056DC"/>
    <w:rsid w:val="00C06144"/>
    <w:rsid w:val="00C063CC"/>
    <w:rsid w:val="00C109DE"/>
    <w:rsid w:val="00C10EC5"/>
    <w:rsid w:val="00C11548"/>
    <w:rsid w:val="00C11C37"/>
    <w:rsid w:val="00C128B4"/>
    <w:rsid w:val="00C1329B"/>
    <w:rsid w:val="00C17202"/>
    <w:rsid w:val="00C17F5B"/>
    <w:rsid w:val="00C207C5"/>
    <w:rsid w:val="00C20979"/>
    <w:rsid w:val="00C21560"/>
    <w:rsid w:val="00C22C4E"/>
    <w:rsid w:val="00C242E6"/>
    <w:rsid w:val="00C2433E"/>
    <w:rsid w:val="00C26E19"/>
    <w:rsid w:val="00C27941"/>
    <w:rsid w:val="00C30A91"/>
    <w:rsid w:val="00C30C14"/>
    <w:rsid w:val="00C31283"/>
    <w:rsid w:val="00C3177F"/>
    <w:rsid w:val="00C31BC0"/>
    <w:rsid w:val="00C32648"/>
    <w:rsid w:val="00C327D5"/>
    <w:rsid w:val="00C33C48"/>
    <w:rsid w:val="00C340E5"/>
    <w:rsid w:val="00C343E8"/>
    <w:rsid w:val="00C35AA7"/>
    <w:rsid w:val="00C36968"/>
    <w:rsid w:val="00C37013"/>
    <w:rsid w:val="00C375EA"/>
    <w:rsid w:val="00C423A9"/>
    <w:rsid w:val="00C42735"/>
    <w:rsid w:val="00C42D72"/>
    <w:rsid w:val="00C42F1D"/>
    <w:rsid w:val="00C4387C"/>
    <w:rsid w:val="00C43BA1"/>
    <w:rsid w:val="00C43DAB"/>
    <w:rsid w:val="00C43E8B"/>
    <w:rsid w:val="00C444F3"/>
    <w:rsid w:val="00C44AB1"/>
    <w:rsid w:val="00C45B48"/>
    <w:rsid w:val="00C45C42"/>
    <w:rsid w:val="00C46285"/>
    <w:rsid w:val="00C479E6"/>
    <w:rsid w:val="00C47ACD"/>
    <w:rsid w:val="00C47F08"/>
    <w:rsid w:val="00C50818"/>
    <w:rsid w:val="00C50F0C"/>
    <w:rsid w:val="00C50FC9"/>
    <w:rsid w:val="00C512F5"/>
    <w:rsid w:val="00C5186A"/>
    <w:rsid w:val="00C52B41"/>
    <w:rsid w:val="00C535A5"/>
    <w:rsid w:val="00C536FB"/>
    <w:rsid w:val="00C550F9"/>
    <w:rsid w:val="00C5691D"/>
    <w:rsid w:val="00C5739F"/>
    <w:rsid w:val="00C57CF0"/>
    <w:rsid w:val="00C60ACF"/>
    <w:rsid w:val="00C60FD5"/>
    <w:rsid w:val="00C623C5"/>
    <w:rsid w:val="00C6307A"/>
    <w:rsid w:val="00C63647"/>
    <w:rsid w:val="00C639C0"/>
    <w:rsid w:val="00C63B36"/>
    <w:rsid w:val="00C642EB"/>
    <w:rsid w:val="00C64694"/>
    <w:rsid w:val="00C651CC"/>
    <w:rsid w:val="00C65891"/>
    <w:rsid w:val="00C67A1D"/>
    <w:rsid w:val="00C70512"/>
    <w:rsid w:val="00C706BF"/>
    <w:rsid w:val="00C7113A"/>
    <w:rsid w:val="00C711EF"/>
    <w:rsid w:val="00C714C3"/>
    <w:rsid w:val="00C724D3"/>
    <w:rsid w:val="00C73472"/>
    <w:rsid w:val="00C73664"/>
    <w:rsid w:val="00C736B0"/>
    <w:rsid w:val="00C7381D"/>
    <w:rsid w:val="00C740A3"/>
    <w:rsid w:val="00C748FB"/>
    <w:rsid w:val="00C755D0"/>
    <w:rsid w:val="00C765AE"/>
    <w:rsid w:val="00C768FD"/>
    <w:rsid w:val="00C77DD9"/>
    <w:rsid w:val="00C77F3F"/>
    <w:rsid w:val="00C80F13"/>
    <w:rsid w:val="00C80F8D"/>
    <w:rsid w:val="00C81487"/>
    <w:rsid w:val="00C83E10"/>
    <w:rsid w:val="00C83F94"/>
    <w:rsid w:val="00C84FBB"/>
    <w:rsid w:val="00C850D7"/>
    <w:rsid w:val="00C85354"/>
    <w:rsid w:val="00C85584"/>
    <w:rsid w:val="00C8610C"/>
    <w:rsid w:val="00C86ABA"/>
    <w:rsid w:val="00C8766F"/>
    <w:rsid w:val="00C87DD8"/>
    <w:rsid w:val="00C90723"/>
    <w:rsid w:val="00C92542"/>
    <w:rsid w:val="00C93F72"/>
    <w:rsid w:val="00C943F3"/>
    <w:rsid w:val="00C96333"/>
    <w:rsid w:val="00C96C66"/>
    <w:rsid w:val="00CA060D"/>
    <w:rsid w:val="00CA08A5"/>
    <w:rsid w:val="00CA08C6"/>
    <w:rsid w:val="00CA0AA8"/>
    <w:rsid w:val="00CA0D46"/>
    <w:rsid w:val="00CA0F55"/>
    <w:rsid w:val="00CA2729"/>
    <w:rsid w:val="00CA3057"/>
    <w:rsid w:val="00CA384E"/>
    <w:rsid w:val="00CA45F8"/>
    <w:rsid w:val="00CA4B24"/>
    <w:rsid w:val="00CA53DD"/>
    <w:rsid w:val="00CA5680"/>
    <w:rsid w:val="00CA5A72"/>
    <w:rsid w:val="00CA5E46"/>
    <w:rsid w:val="00CA6BB3"/>
    <w:rsid w:val="00CA7BA3"/>
    <w:rsid w:val="00CB0AC1"/>
    <w:rsid w:val="00CB0E7D"/>
    <w:rsid w:val="00CB166B"/>
    <w:rsid w:val="00CB1E2E"/>
    <w:rsid w:val="00CB33C7"/>
    <w:rsid w:val="00CB3CC2"/>
    <w:rsid w:val="00CB3FA8"/>
    <w:rsid w:val="00CB401E"/>
    <w:rsid w:val="00CB4B5B"/>
    <w:rsid w:val="00CB4BD3"/>
    <w:rsid w:val="00CB668A"/>
    <w:rsid w:val="00CB67A6"/>
    <w:rsid w:val="00CB75C9"/>
    <w:rsid w:val="00CB77F4"/>
    <w:rsid w:val="00CC0AE4"/>
    <w:rsid w:val="00CC0BB1"/>
    <w:rsid w:val="00CC258B"/>
    <w:rsid w:val="00CC25B4"/>
    <w:rsid w:val="00CC2E7B"/>
    <w:rsid w:val="00CC324A"/>
    <w:rsid w:val="00CC3E31"/>
    <w:rsid w:val="00CC4AFB"/>
    <w:rsid w:val="00CC4F98"/>
    <w:rsid w:val="00CC55C7"/>
    <w:rsid w:val="00CC5798"/>
    <w:rsid w:val="00CC63AF"/>
    <w:rsid w:val="00CC69C8"/>
    <w:rsid w:val="00CC77A2"/>
    <w:rsid w:val="00CC7AEA"/>
    <w:rsid w:val="00CC7FE6"/>
    <w:rsid w:val="00CD135A"/>
    <w:rsid w:val="00CD162F"/>
    <w:rsid w:val="00CD1846"/>
    <w:rsid w:val="00CD3120"/>
    <w:rsid w:val="00CD3EBC"/>
    <w:rsid w:val="00CD40BC"/>
    <w:rsid w:val="00CD42EB"/>
    <w:rsid w:val="00CD490E"/>
    <w:rsid w:val="00CD5914"/>
    <w:rsid w:val="00CD67D1"/>
    <w:rsid w:val="00CD6A1B"/>
    <w:rsid w:val="00CE03C2"/>
    <w:rsid w:val="00CE0A7F"/>
    <w:rsid w:val="00CE0E6F"/>
    <w:rsid w:val="00CE1718"/>
    <w:rsid w:val="00CE1C50"/>
    <w:rsid w:val="00CE26A2"/>
    <w:rsid w:val="00CE3CE5"/>
    <w:rsid w:val="00CE4029"/>
    <w:rsid w:val="00CE5522"/>
    <w:rsid w:val="00CE60F2"/>
    <w:rsid w:val="00CE64A0"/>
    <w:rsid w:val="00CE6DF5"/>
    <w:rsid w:val="00CF278C"/>
    <w:rsid w:val="00CF4156"/>
    <w:rsid w:val="00CF5039"/>
    <w:rsid w:val="00CF5AA2"/>
    <w:rsid w:val="00CF606D"/>
    <w:rsid w:val="00CF6160"/>
    <w:rsid w:val="00CF71F0"/>
    <w:rsid w:val="00D03D00"/>
    <w:rsid w:val="00D03F6F"/>
    <w:rsid w:val="00D05168"/>
    <w:rsid w:val="00D05644"/>
    <w:rsid w:val="00D05C30"/>
    <w:rsid w:val="00D05F4C"/>
    <w:rsid w:val="00D060AA"/>
    <w:rsid w:val="00D06376"/>
    <w:rsid w:val="00D063B8"/>
    <w:rsid w:val="00D06881"/>
    <w:rsid w:val="00D06A3E"/>
    <w:rsid w:val="00D079E7"/>
    <w:rsid w:val="00D105F9"/>
    <w:rsid w:val="00D11359"/>
    <w:rsid w:val="00D12DC5"/>
    <w:rsid w:val="00D13757"/>
    <w:rsid w:val="00D14B0D"/>
    <w:rsid w:val="00D15E37"/>
    <w:rsid w:val="00D15F50"/>
    <w:rsid w:val="00D16340"/>
    <w:rsid w:val="00D17607"/>
    <w:rsid w:val="00D17AEF"/>
    <w:rsid w:val="00D17D43"/>
    <w:rsid w:val="00D20406"/>
    <w:rsid w:val="00D20AAB"/>
    <w:rsid w:val="00D210A7"/>
    <w:rsid w:val="00D213B9"/>
    <w:rsid w:val="00D2254C"/>
    <w:rsid w:val="00D2286A"/>
    <w:rsid w:val="00D24214"/>
    <w:rsid w:val="00D2499E"/>
    <w:rsid w:val="00D24D31"/>
    <w:rsid w:val="00D25130"/>
    <w:rsid w:val="00D25D1C"/>
    <w:rsid w:val="00D272D1"/>
    <w:rsid w:val="00D27537"/>
    <w:rsid w:val="00D30384"/>
    <w:rsid w:val="00D3188C"/>
    <w:rsid w:val="00D31ABD"/>
    <w:rsid w:val="00D32683"/>
    <w:rsid w:val="00D326A2"/>
    <w:rsid w:val="00D329FE"/>
    <w:rsid w:val="00D33DB9"/>
    <w:rsid w:val="00D34AD8"/>
    <w:rsid w:val="00D34FA0"/>
    <w:rsid w:val="00D35F9B"/>
    <w:rsid w:val="00D35FD4"/>
    <w:rsid w:val="00D3667C"/>
    <w:rsid w:val="00D36B69"/>
    <w:rsid w:val="00D400FC"/>
    <w:rsid w:val="00D40279"/>
    <w:rsid w:val="00D408DD"/>
    <w:rsid w:val="00D426A6"/>
    <w:rsid w:val="00D42B55"/>
    <w:rsid w:val="00D43490"/>
    <w:rsid w:val="00D44315"/>
    <w:rsid w:val="00D44C57"/>
    <w:rsid w:val="00D4570E"/>
    <w:rsid w:val="00D45D72"/>
    <w:rsid w:val="00D46A04"/>
    <w:rsid w:val="00D46DF2"/>
    <w:rsid w:val="00D47335"/>
    <w:rsid w:val="00D479B5"/>
    <w:rsid w:val="00D520E4"/>
    <w:rsid w:val="00D52381"/>
    <w:rsid w:val="00D525BA"/>
    <w:rsid w:val="00D530DA"/>
    <w:rsid w:val="00D534A2"/>
    <w:rsid w:val="00D539D5"/>
    <w:rsid w:val="00D539E0"/>
    <w:rsid w:val="00D53D3F"/>
    <w:rsid w:val="00D5437E"/>
    <w:rsid w:val="00D54E03"/>
    <w:rsid w:val="00D5543D"/>
    <w:rsid w:val="00D55454"/>
    <w:rsid w:val="00D575DD"/>
    <w:rsid w:val="00D57816"/>
    <w:rsid w:val="00D57A95"/>
    <w:rsid w:val="00D57DFA"/>
    <w:rsid w:val="00D60689"/>
    <w:rsid w:val="00D613D2"/>
    <w:rsid w:val="00D6142E"/>
    <w:rsid w:val="00D61AD7"/>
    <w:rsid w:val="00D61D4D"/>
    <w:rsid w:val="00D6372B"/>
    <w:rsid w:val="00D65EC2"/>
    <w:rsid w:val="00D661BF"/>
    <w:rsid w:val="00D66526"/>
    <w:rsid w:val="00D66AF0"/>
    <w:rsid w:val="00D676F1"/>
    <w:rsid w:val="00D706AA"/>
    <w:rsid w:val="00D709CE"/>
    <w:rsid w:val="00D70E96"/>
    <w:rsid w:val="00D71E45"/>
    <w:rsid w:val="00D71F73"/>
    <w:rsid w:val="00D7281F"/>
    <w:rsid w:val="00D72848"/>
    <w:rsid w:val="00D739A7"/>
    <w:rsid w:val="00D73B9B"/>
    <w:rsid w:val="00D74CE2"/>
    <w:rsid w:val="00D7619D"/>
    <w:rsid w:val="00D767E7"/>
    <w:rsid w:val="00D76A8C"/>
    <w:rsid w:val="00D76B0C"/>
    <w:rsid w:val="00D80786"/>
    <w:rsid w:val="00D80DF7"/>
    <w:rsid w:val="00D81148"/>
    <w:rsid w:val="00D81CAB"/>
    <w:rsid w:val="00D82A65"/>
    <w:rsid w:val="00D8313B"/>
    <w:rsid w:val="00D83525"/>
    <w:rsid w:val="00D8374D"/>
    <w:rsid w:val="00D8516A"/>
    <w:rsid w:val="00D8576F"/>
    <w:rsid w:val="00D8583D"/>
    <w:rsid w:val="00D858A4"/>
    <w:rsid w:val="00D861EB"/>
    <w:rsid w:val="00D8677F"/>
    <w:rsid w:val="00D86CB4"/>
    <w:rsid w:val="00D87D86"/>
    <w:rsid w:val="00D91C3E"/>
    <w:rsid w:val="00D91CAB"/>
    <w:rsid w:val="00D91ED1"/>
    <w:rsid w:val="00D93356"/>
    <w:rsid w:val="00D93C22"/>
    <w:rsid w:val="00D93DA3"/>
    <w:rsid w:val="00D94582"/>
    <w:rsid w:val="00D9549A"/>
    <w:rsid w:val="00D9600A"/>
    <w:rsid w:val="00D9638E"/>
    <w:rsid w:val="00D96B81"/>
    <w:rsid w:val="00D97F0C"/>
    <w:rsid w:val="00DA12CC"/>
    <w:rsid w:val="00DA21AB"/>
    <w:rsid w:val="00DA3820"/>
    <w:rsid w:val="00DA390C"/>
    <w:rsid w:val="00DA3A86"/>
    <w:rsid w:val="00DA3AF1"/>
    <w:rsid w:val="00DA4678"/>
    <w:rsid w:val="00DA4CC9"/>
    <w:rsid w:val="00DA4EFA"/>
    <w:rsid w:val="00DA7AE8"/>
    <w:rsid w:val="00DA7CBA"/>
    <w:rsid w:val="00DA7E80"/>
    <w:rsid w:val="00DA7FF1"/>
    <w:rsid w:val="00DB0212"/>
    <w:rsid w:val="00DB04AA"/>
    <w:rsid w:val="00DB0EAA"/>
    <w:rsid w:val="00DB1112"/>
    <w:rsid w:val="00DB1696"/>
    <w:rsid w:val="00DB49AE"/>
    <w:rsid w:val="00DB61B2"/>
    <w:rsid w:val="00DB6328"/>
    <w:rsid w:val="00DB6F85"/>
    <w:rsid w:val="00DB7665"/>
    <w:rsid w:val="00DB7B52"/>
    <w:rsid w:val="00DC130B"/>
    <w:rsid w:val="00DC188E"/>
    <w:rsid w:val="00DC1A72"/>
    <w:rsid w:val="00DC34F4"/>
    <w:rsid w:val="00DC3B29"/>
    <w:rsid w:val="00DC4CC6"/>
    <w:rsid w:val="00DC4D4A"/>
    <w:rsid w:val="00DC4EAF"/>
    <w:rsid w:val="00DC4FCA"/>
    <w:rsid w:val="00DC566D"/>
    <w:rsid w:val="00DC5B73"/>
    <w:rsid w:val="00DC752D"/>
    <w:rsid w:val="00DC77DC"/>
    <w:rsid w:val="00DC781F"/>
    <w:rsid w:val="00DC7933"/>
    <w:rsid w:val="00DC7B21"/>
    <w:rsid w:val="00DD011B"/>
    <w:rsid w:val="00DD02AE"/>
    <w:rsid w:val="00DD0C2C"/>
    <w:rsid w:val="00DD1146"/>
    <w:rsid w:val="00DD153C"/>
    <w:rsid w:val="00DD1D58"/>
    <w:rsid w:val="00DD234B"/>
    <w:rsid w:val="00DD28BC"/>
    <w:rsid w:val="00DD2AC4"/>
    <w:rsid w:val="00DD35E3"/>
    <w:rsid w:val="00DD3D56"/>
    <w:rsid w:val="00DD3FD5"/>
    <w:rsid w:val="00DD4D85"/>
    <w:rsid w:val="00DD513E"/>
    <w:rsid w:val="00DD5E23"/>
    <w:rsid w:val="00DD6348"/>
    <w:rsid w:val="00DD6D1B"/>
    <w:rsid w:val="00DD7749"/>
    <w:rsid w:val="00DD788E"/>
    <w:rsid w:val="00DE0A8F"/>
    <w:rsid w:val="00DE11C5"/>
    <w:rsid w:val="00DE1ED0"/>
    <w:rsid w:val="00DE274B"/>
    <w:rsid w:val="00DE2D2C"/>
    <w:rsid w:val="00DE31F0"/>
    <w:rsid w:val="00DE3D1C"/>
    <w:rsid w:val="00DE6290"/>
    <w:rsid w:val="00DE6CD3"/>
    <w:rsid w:val="00DE70B3"/>
    <w:rsid w:val="00DE7F96"/>
    <w:rsid w:val="00DF05A2"/>
    <w:rsid w:val="00DF0D07"/>
    <w:rsid w:val="00DF13CF"/>
    <w:rsid w:val="00DF2A4F"/>
    <w:rsid w:val="00DF2E94"/>
    <w:rsid w:val="00DF3128"/>
    <w:rsid w:val="00DF3552"/>
    <w:rsid w:val="00DF400B"/>
    <w:rsid w:val="00DF40E7"/>
    <w:rsid w:val="00DF4252"/>
    <w:rsid w:val="00DF45D0"/>
    <w:rsid w:val="00DF50E9"/>
    <w:rsid w:val="00DF5483"/>
    <w:rsid w:val="00DF5515"/>
    <w:rsid w:val="00DF72F8"/>
    <w:rsid w:val="00E007F0"/>
    <w:rsid w:val="00E01CC3"/>
    <w:rsid w:val="00E0227D"/>
    <w:rsid w:val="00E03EEB"/>
    <w:rsid w:val="00E04056"/>
    <w:rsid w:val="00E044D7"/>
    <w:rsid w:val="00E04B84"/>
    <w:rsid w:val="00E0553A"/>
    <w:rsid w:val="00E05E6C"/>
    <w:rsid w:val="00E0603D"/>
    <w:rsid w:val="00E062D4"/>
    <w:rsid w:val="00E06CFB"/>
    <w:rsid w:val="00E06FDA"/>
    <w:rsid w:val="00E1031E"/>
    <w:rsid w:val="00E1068A"/>
    <w:rsid w:val="00E10EA3"/>
    <w:rsid w:val="00E12265"/>
    <w:rsid w:val="00E1282B"/>
    <w:rsid w:val="00E12E8C"/>
    <w:rsid w:val="00E1393F"/>
    <w:rsid w:val="00E14AB7"/>
    <w:rsid w:val="00E14FBA"/>
    <w:rsid w:val="00E151F2"/>
    <w:rsid w:val="00E1569D"/>
    <w:rsid w:val="00E15AC9"/>
    <w:rsid w:val="00E160A5"/>
    <w:rsid w:val="00E16574"/>
    <w:rsid w:val="00E1713D"/>
    <w:rsid w:val="00E20A43"/>
    <w:rsid w:val="00E20EB4"/>
    <w:rsid w:val="00E221F6"/>
    <w:rsid w:val="00E2316C"/>
    <w:rsid w:val="00E235F2"/>
    <w:rsid w:val="00E23898"/>
    <w:rsid w:val="00E23A56"/>
    <w:rsid w:val="00E2410B"/>
    <w:rsid w:val="00E24654"/>
    <w:rsid w:val="00E24F4D"/>
    <w:rsid w:val="00E2576D"/>
    <w:rsid w:val="00E26085"/>
    <w:rsid w:val="00E2635B"/>
    <w:rsid w:val="00E27F54"/>
    <w:rsid w:val="00E302EC"/>
    <w:rsid w:val="00E31459"/>
    <w:rsid w:val="00E339A1"/>
    <w:rsid w:val="00E33CD2"/>
    <w:rsid w:val="00E33D4F"/>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30A"/>
    <w:rsid w:val="00E54874"/>
    <w:rsid w:val="00E54B17"/>
    <w:rsid w:val="00E54B6F"/>
    <w:rsid w:val="00E54E9C"/>
    <w:rsid w:val="00E55ACA"/>
    <w:rsid w:val="00E55D7E"/>
    <w:rsid w:val="00E55DBC"/>
    <w:rsid w:val="00E56180"/>
    <w:rsid w:val="00E56612"/>
    <w:rsid w:val="00E57B74"/>
    <w:rsid w:val="00E60331"/>
    <w:rsid w:val="00E60AD4"/>
    <w:rsid w:val="00E61B49"/>
    <w:rsid w:val="00E62B51"/>
    <w:rsid w:val="00E63B11"/>
    <w:rsid w:val="00E6586E"/>
    <w:rsid w:val="00E661FF"/>
    <w:rsid w:val="00E6785E"/>
    <w:rsid w:val="00E7013B"/>
    <w:rsid w:val="00E7089F"/>
    <w:rsid w:val="00E70C6E"/>
    <w:rsid w:val="00E71A93"/>
    <w:rsid w:val="00E726EB"/>
    <w:rsid w:val="00E72A96"/>
    <w:rsid w:val="00E7363E"/>
    <w:rsid w:val="00E73B40"/>
    <w:rsid w:val="00E73CF1"/>
    <w:rsid w:val="00E751B5"/>
    <w:rsid w:val="00E7628D"/>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1D4"/>
    <w:rsid w:val="00E94F54"/>
    <w:rsid w:val="00EA0AAA"/>
    <w:rsid w:val="00EA1111"/>
    <w:rsid w:val="00EA157B"/>
    <w:rsid w:val="00EA1901"/>
    <w:rsid w:val="00EA20D5"/>
    <w:rsid w:val="00EA3120"/>
    <w:rsid w:val="00EA3961"/>
    <w:rsid w:val="00EA3B4F"/>
    <w:rsid w:val="00EA3C24"/>
    <w:rsid w:val="00EA3F42"/>
    <w:rsid w:val="00EA46A3"/>
    <w:rsid w:val="00EA4731"/>
    <w:rsid w:val="00EA4CE8"/>
    <w:rsid w:val="00EA5DC7"/>
    <w:rsid w:val="00EA6575"/>
    <w:rsid w:val="00EA73DF"/>
    <w:rsid w:val="00EB197A"/>
    <w:rsid w:val="00EB1BDF"/>
    <w:rsid w:val="00EB2136"/>
    <w:rsid w:val="00EB335C"/>
    <w:rsid w:val="00EB5516"/>
    <w:rsid w:val="00EB55B4"/>
    <w:rsid w:val="00EB61AE"/>
    <w:rsid w:val="00EB6AF8"/>
    <w:rsid w:val="00EC0E19"/>
    <w:rsid w:val="00EC0FB3"/>
    <w:rsid w:val="00EC1098"/>
    <w:rsid w:val="00EC142A"/>
    <w:rsid w:val="00EC1A60"/>
    <w:rsid w:val="00EC1DD4"/>
    <w:rsid w:val="00EC322D"/>
    <w:rsid w:val="00EC35D8"/>
    <w:rsid w:val="00EC3D3C"/>
    <w:rsid w:val="00EC43CD"/>
    <w:rsid w:val="00EC4741"/>
    <w:rsid w:val="00EC5A65"/>
    <w:rsid w:val="00EC5C75"/>
    <w:rsid w:val="00EC745F"/>
    <w:rsid w:val="00EC7D1F"/>
    <w:rsid w:val="00ED014D"/>
    <w:rsid w:val="00ED0890"/>
    <w:rsid w:val="00ED1F71"/>
    <w:rsid w:val="00ED2629"/>
    <w:rsid w:val="00ED3307"/>
    <w:rsid w:val="00ED34AE"/>
    <w:rsid w:val="00ED4182"/>
    <w:rsid w:val="00ED77E6"/>
    <w:rsid w:val="00ED79FD"/>
    <w:rsid w:val="00ED7AD6"/>
    <w:rsid w:val="00ED7EC5"/>
    <w:rsid w:val="00EE14C9"/>
    <w:rsid w:val="00EE3019"/>
    <w:rsid w:val="00EE38D3"/>
    <w:rsid w:val="00EE4FA4"/>
    <w:rsid w:val="00EE5B68"/>
    <w:rsid w:val="00EE626C"/>
    <w:rsid w:val="00EE7614"/>
    <w:rsid w:val="00EE7796"/>
    <w:rsid w:val="00EE7A4E"/>
    <w:rsid w:val="00EE7CE4"/>
    <w:rsid w:val="00EF12F0"/>
    <w:rsid w:val="00EF1575"/>
    <w:rsid w:val="00EF1EBA"/>
    <w:rsid w:val="00EF23F7"/>
    <w:rsid w:val="00EF4505"/>
    <w:rsid w:val="00EF5143"/>
    <w:rsid w:val="00EF51A4"/>
    <w:rsid w:val="00EF55EB"/>
    <w:rsid w:val="00EF5639"/>
    <w:rsid w:val="00EF6797"/>
    <w:rsid w:val="00F001C4"/>
    <w:rsid w:val="00F00B3F"/>
    <w:rsid w:val="00F00DCC"/>
    <w:rsid w:val="00F010A1"/>
    <w:rsid w:val="00F0156F"/>
    <w:rsid w:val="00F0171D"/>
    <w:rsid w:val="00F02E1F"/>
    <w:rsid w:val="00F02FE1"/>
    <w:rsid w:val="00F040C5"/>
    <w:rsid w:val="00F05AC8"/>
    <w:rsid w:val="00F05DF4"/>
    <w:rsid w:val="00F06393"/>
    <w:rsid w:val="00F07167"/>
    <w:rsid w:val="00F072D8"/>
    <w:rsid w:val="00F07CE0"/>
    <w:rsid w:val="00F07D73"/>
    <w:rsid w:val="00F1147D"/>
    <w:rsid w:val="00F11AD5"/>
    <w:rsid w:val="00F12EB8"/>
    <w:rsid w:val="00F13D05"/>
    <w:rsid w:val="00F13FAD"/>
    <w:rsid w:val="00F14386"/>
    <w:rsid w:val="00F16028"/>
    <w:rsid w:val="00F161A2"/>
    <w:rsid w:val="00F1671E"/>
    <w:rsid w:val="00F1679D"/>
    <w:rsid w:val="00F1682C"/>
    <w:rsid w:val="00F16D78"/>
    <w:rsid w:val="00F200B9"/>
    <w:rsid w:val="00F20B91"/>
    <w:rsid w:val="00F221E2"/>
    <w:rsid w:val="00F22594"/>
    <w:rsid w:val="00F23041"/>
    <w:rsid w:val="00F241A3"/>
    <w:rsid w:val="00F24B8B"/>
    <w:rsid w:val="00F26C49"/>
    <w:rsid w:val="00F27257"/>
    <w:rsid w:val="00F277B9"/>
    <w:rsid w:val="00F30136"/>
    <w:rsid w:val="00F30D2E"/>
    <w:rsid w:val="00F310DA"/>
    <w:rsid w:val="00F31FC3"/>
    <w:rsid w:val="00F32EE9"/>
    <w:rsid w:val="00F33490"/>
    <w:rsid w:val="00F336A4"/>
    <w:rsid w:val="00F33F57"/>
    <w:rsid w:val="00F34B2F"/>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044"/>
    <w:rsid w:val="00F44522"/>
    <w:rsid w:val="00F4592F"/>
    <w:rsid w:val="00F521C4"/>
    <w:rsid w:val="00F54597"/>
    <w:rsid w:val="00F552D1"/>
    <w:rsid w:val="00F55913"/>
    <w:rsid w:val="00F55C05"/>
    <w:rsid w:val="00F55E2D"/>
    <w:rsid w:val="00F561DE"/>
    <w:rsid w:val="00F56685"/>
    <w:rsid w:val="00F5668D"/>
    <w:rsid w:val="00F57876"/>
    <w:rsid w:val="00F602F8"/>
    <w:rsid w:val="00F6083D"/>
    <w:rsid w:val="00F61598"/>
    <w:rsid w:val="00F618EF"/>
    <w:rsid w:val="00F61965"/>
    <w:rsid w:val="00F61F33"/>
    <w:rsid w:val="00F62122"/>
    <w:rsid w:val="00F62B94"/>
    <w:rsid w:val="00F6369C"/>
    <w:rsid w:val="00F63DF4"/>
    <w:rsid w:val="00F646B5"/>
    <w:rsid w:val="00F6514F"/>
    <w:rsid w:val="00F65582"/>
    <w:rsid w:val="00F669A7"/>
    <w:rsid w:val="00F66E75"/>
    <w:rsid w:val="00F67DDA"/>
    <w:rsid w:val="00F709FE"/>
    <w:rsid w:val="00F72810"/>
    <w:rsid w:val="00F72CF2"/>
    <w:rsid w:val="00F74E97"/>
    <w:rsid w:val="00F75D3C"/>
    <w:rsid w:val="00F77530"/>
    <w:rsid w:val="00F77EB0"/>
    <w:rsid w:val="00F80B60"/>
    <w:rsid w:val="00F8248E"/>
    <w:rsid w:val="00F825EA"/>
    <w:rsid w:val="00F8290C"/>
    <w:rsid w:val="00F82A50"/>
    <w:rsid w:val="00F836EE"/>
    <w:rsid w:val="00F8714A"/>
    <w:rsid w:val="00F87CDD"/>
    <w:rsid w:val="00F87D1C"/>
    <w:rsid w:val="00F90297"/>
    <w:rsid w:val="00F91647"/>
    <w:rsid w:val="00F9169C"/>
    <w:rsid w:val="00F91D53"/>
    <w:rsid w:val="00F91E97"/>
    <w:rsid w:val="00F922CE"/>
    <w:rsid w:val="00F9238B"/>
    <w:rsid w:val="00F92818"/>
    <w:rsid w:val="00F933F0"/>
    <w:rsid w:val="00F93B24"/>
    <w:rsid w:val="00F94672"/>
    <w:rsid w:val="00F94715"/>
    <w:rsid w:val="00F94BAD"/>
    <w:rsid w:val="00F94DD5"/>
    <w:rsid w:val="00F9518A"/>
    <w:rsid w:val="00F964DB"/>
    <w:rsid w:val="00F96B02"/>
    <w:rsid w:val="00FA007C"/>
    <w:rsid w:val="00FA0C3A"/>
    <w:rsid w:val="00FA0F95"/>
    <w:rsid w:val="00FA18C7"/>
    <w:rsid w:val="00FA2280"/>
    <w:rsid w:val="00FA4024"/>
    <w:rsid w:val="00FA4718"/>
    <w:rsid w:val="00FA4A05"/>
    <w:rsid w:val="00FA56EC"/>
    <w:rsid w:val="00FA59D8"/>
    <w:rsid w:val="00FA697C"/>
    <w:rsid w:val="00FA7273"/>
    <w:rsid w:val="00FA7F3D"/>
    <w:rsid w:val="00FB07AE"/>
    <w:rsid w:val="00FB3A82"/>
    <w:rsid w:val="00FB3E50"/>
    <w:rsid w:val="00FB488C"/>
    <w:rsid w:val="00FB4CCF"/>
    <w:rsid w:val="00FB5055"/>
    <w:rsid w:val="00FC051F"/>
    <w:rsid w:val="00FC06FF"/>
    <w:rsid w:val="00FC1D70"/>
    <w:rsid w:val="00FC1EE1"/>
    <w:rsid w:val="00FC201E"/>
    <w:rsid w:val="00FC51ED"/>
    <w:rsid w:val="00FC521F"/>
    <w:rsid w:val="00FC52AF"/>
    <w:rsid w:val="00FC545A"/>
    <w:rsid w:val="00FC560F"/>
    <w:rsid w:val="00FC5616"/>
    <w:rsid w:val="00FC69EA"/>
    <w:rsid w:val="00FC71BD"/>
    <w:rsid w:val="00FD0694"/>
    <w:rsid w:val="00FD25BE"/>
    <w:rsid w:val="00FD2E70"/>
    <w:rsid w:val="00FD6787"/>
    <w:rsid w:val="00FD67AB"/>
    <w:rsid w:val="00FD6A88"/>
    <w:rsid w:val="00FD7459"/>
    <w:rsid w:val="00FD7AA7"/>
    <w:rsid w:val="00FD7D11"/>
    <w:rsid w:val="00FE0983"/>
    <w:rsid w:val="00FE0C32"/>
    <w:rsid w:val="00FE0FE4"/>
    <w:rsid w:val="00FE2440"/>
    <w:rsid w:val="00FE248C"/>
    <w:rsid w:val="00FE3086"/>
    <w:rsid w:val="00FE4E62"/>
    <w:rsid w:val="00FE65AF"/>
    <w:rsid w:val="00FE710B"/>
    <w:rsid w:val="00FE77BC"/>
    <w:rsid w:val="00FF0968"/>
    <w:rsid w:val="00FF0D8C"/>
    <w:rsid w:val="00FF111E"/>
    <w:rsid w:val="00FF169B"/>
    <w:rsid w:val="00FF1FCB"/>
    <w:rsid w:val="00FF2056"/>
    <w:rsid w:val="00FF21D8"/>
    <w:rsid w:val="00FF34C3"/>
    <w:rsid w:val="00FF4B41"/>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2923</Words>
  <Characters>16665</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19549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4</cp:revision>
  <cp:lastPrinted>2019-04-25T01:09:00Z</cp:lastPrinted>
  <dcterms:created xsi:type="dcterms:W3CDTF">2025-10-01T08:27:00Z</dcterms:created>
  <dcterms:modified xsi:type="dcterms:W3CDTF">2025-10-02T14:16:00Z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